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00" w:rsidRPr="005A4565" w:rsidRDefault="00C64C18" w:rsidP="00C64C18">
      <w:pPr>
        <w:jc w:val="both"/>
        <w:rPr>
          <w:rFonts w:ascii="Calibri" w:hAnsi="Calibri"/>
          <w:b/>
          <w:sz w:val="28"/>
          <w:szCs w:val="28"/>
        </w:rPr>
      </w:pPr>
      <w:r w:rsidRPr="005A4565">
        <w:rPr>
          <w:rFonts w:ascii="Calibri" w:hAnsi="Calibri"/>
          <w:b/>
          <w:sz w:val="28"/>
          <w:szCs w:val="28"/>
        </w:rPr>
        <w:t xml:space="preserve">ACUERDO </w:t>
      </w:r>
      <w:r w:rsidR="00D24E9F" w:rsidRPr="005A4565">
        <w:rPr>
          <w:rFonts w:ascii="Calibri" w:hAnsi="Calibri"/>
          <w:b/>
          <w:sz w:val="28"/>
          <w:szCs w:val="28"/>
          <w:lang w:val="es-ES"/>
        </w:rPr>
        <w:t xml:space="preserve">DEL COMITÉ DE GARANTÍA DE ACCESO Y TRANSPARENCIA DE LA INFORMACIÓN POR EL QUE </w:t>
      </w:r>
      <w:r w:rsidR="00B767FA">
        <w:rPr>
          <w:rFonts w:ascii="Calibri" w:hAnsi="Calibri"/>
          <w:b/>
          <w:sz w:val="28"/>
          <w:szCs w:val="28"/>
        </w:rPr>
        <w:t xml:space="preserve">SE SEÑALAN LOS DÍAS </w:t>
      </w:r>
      <w:r w:rsidR="00FB4293">
        <w:rPr>
          <w:rFonts w:ascii="Calibri" w:hAnsi="Calibri"/>
          <w:b/>
          <w:sz w:val="28"/>
          <w:szCs w:val="28"/>
        </w:rPr>
        <w:t>QUE SE CONSIDERAN INH</w:t>
      </w:r>
      <w:r w:rsidR="00B767FA">
        <w:rPr>
          <w:rFonts w:ascii="Calibri" w:hAnsi="Calibri"/>
          <w:b/>
          <w:sz w:val="28"/>
          <w:szCs w:val="28"/>
        </w:rPr>
        <w:t>ÁBILES PARA EL PROCEDIMIENTO DEL EJERCICIO DEL DERECHO DE ACCESO A LA INFORMACIÓN E</w:t>
      </w:r>
      <w:r w:rsidRPr="005A4565">
        <w:rPr>
          <w:rFonts w:ascii="Calibri" w:hAnsi="Calibri"/>
          <w:b/>
          <w:sz w:val="28"/>
          <w:szCs w:val="28"/>
        </w:rPr>
        <w:t xml:space="preserve">N </w:t>
      </w:r>
      <w:r w:rsidR="003669F7" w:rsidRPr="005A4565">
        <w:rPr>
          <w:rFonts w:ascii="Calibri" w:hAnsi="Calibri"/>
          <w:b/>
          <w:sz w:val="28"/>
          <w:szCs w:val="28"/>
          <w:lang w:val="es-MX"/>
        </w:rPr>
        <w:t>EL SENADO DE LA REPÚBLICA</w:t>
      </w:r>
      <w:r w:rsidR="00AE1792">
        <w:rPr>
          <w:rFonts w:ascii="Calibri" w:hAnsi="Calibri"/>
          <w:b/>
          <w:sz w:val="28"/>
          <w:szCs w:val="28"/>
          <w:lang w:val="es-MX"/>
        </w:rPr>
        <w:t>.</w:t>
      </w:r>
    </w:p>
    <w:p w:rsidR="00581300" w:rsidRPr="005A4565" w:rsidRDefault="00581300" w:rsidP="00581300">
      <w:pPr>
        <w:rPr>
          <w:rFonts w:ascii="Calibri" w:hAnsi="Calibri"/>
          <w:sz w:val="28"/>
          <w:szCs w:val="28"/>
        </w:rPr>
      </w:pPr>
    </w:p>
    <w:p w:rsidR="00581300" w:rsidRPr="005A4565" w:rsidRDefault="00581300" w:rsidP="00F16001">
      <w:pPr>
        <w:jc w:val="both"/>
        <w:rPr>
          <w:rFonts w:ascii="Calibri" w:hAnsi="Calibri"/>
          <w:sz w:val="28"/>
          <w:szCs w:val="28"/>
          <w:lang w:val="es-MX"/>
        </w:rPr>
      </w:pPr>
      <w:r w:rsidRPr="005A4565">
        <w:rPr>
          <w:rFonts w:ascii="Calibri" w:hAnsi="Calibri"/>
          <w:sz w:val="28"/>
          <w:szCs w:val="28"/>
        </w:rPr>
        <w:t xml:space="preserve">Con fundamento en lo dispuesto por </w:t>
      </w:r>
      <w:r w:rsidR="00C64C18" w:rsidRPr="005A4565">
        <w:rPr>
          <w:rFonts w:ascii="Calibri" w:hAnsi="Calibri"/>
          <w:sz w:val="28"/>
          <w:szCs w:val="28"/>
        </w:rPr>
        <w:t>el artículo 295</w:t>
      </w:r>
      <w:r w:rsidRPr="005A4565">
        <w:rPr>
          <w:rFonts w:ascii="Calibri" w:hAnsi="Calibri"/>
          <w:sz w:val="28"/>
          <w:szCs w:val="28"/>
        </w:rPr>
        <w:t xml:space="preserve"> del Reglamento </w:t>
      </w:r>
      <w:r w:rsidR="00C64C18" w:rsidRPr="005A4565">
        <w:rPr>
          <w:rFonts w:ascii="Calibri" w:hAnsi="Calibri"/>
          <w:sz w:val="28"/>
          <w:szCs w:val="28"/>
        </w:rPr>
        <w:t>del Senado de la República</w:t>
      </w:r>
      <w:r w:rsidR="00F16001" w:rsidRPr="005A4565">
        <w:rPr>
          <w:rFonts w:ascii="Calibri" w:hAnsi="Calibri"/>
          <w:sz w:val="28"/>
          <w:szCs w:val="28"/>
        </w:rPr>
        <w:t xml:space="preserve"> y</w:t>
      </w:r>
      <w:r w:rsidRPr="005A4565">
        <w:rPr>
          <w:rFonts w:ascii="Calibri" w:hAnsi="Calibri"/>
          <w:sz w:val="28"/>
          <w:szCs w:val="28"/>
        </w:rPr>
        <w:t xml:space="preserve"> el </w:t>
      </w:r>
      <w:r w:rsidR="00C64C18" w:rsidRPr="005A4565">
        <w:rPr>
          <w:rFonts w:ascii="Calibri" w:hAnsi="Calibri"/>
          <w:sz w:val="28"/>
          <w:szCs w:val="28"/>
          <w:lang w:val="es-MX"/>
        </w:rPr>
        <w:t>Acuerdo Parlamentario para la Aplicación de la L</w:t>
      </w:r>
      <w:r w:rsidR="00D24E9F" w:rsidRPr="005A4565">
        <w:rPr>
          <w:rFonts w:ascii="Calibri" w:hAnsi="Calibri"/>
          <w:sz w:val="28"/>
          <w:szCs w:val="28"/>
          <w:lang w:val="es-MX"/>
        </w:rPr>
        <w:t xml:space="preserve">ey </w:t>
      </w:r>
      <w:r w:rsidR="00C64C18" w:rsidRPr="005A4565">
        <w:rPr>
          <w:rFonts w:ascii="Calibri" w:hAnsi="Calibri"/>
          <w:sz w:val="28"/>
          <w:szCs w:val="28"/>
          <w:lang w:val="es-MX"/>
        </w:rPr>
        <w:t>F</w:t>
      </w:r>
      <w:r w:rsidR="00D24E9F" w:rsidRPr="005A4565">
        <w:rPr>
          <w:rFonts w:ascii="Calibri" w:hAnsi="Calibri"/>
          <w:sz w:val="28"/>
          <w:szCs w:val="28"/>
          <w:lang w:val="es-MX"/>
        </w:rPr>
        <w:t xml:space="preserve">ederal de </w:t>
      </w:r>
      <w:r w:rsidR="00C64C18" w:rsidRPr="005A4565">
        <w:rPr>
          <w:rFonts w:ascii="Calibri" w:hAnsi="Calibri"/>
          <w:sz w:val="28"/>
          <w:szCs w:val="28"/>
          <w:lang w:val="es-MX"/>
        </w:rPr>
        <w:t>T</w:t>
      </w:r>
      <w:r w:rsidR="00D24E9F" w:rsidRPr="005A4565">
        <w:rPr>
          <w:rFonts w:ascii="Calibri" w:hAnsi="Calibri"/>
          <w:sz w:val="28"/>
          <w:szCs w:val="28"/>
          <w:lang w:val="es-MX"/>
        </w:rPr>
        <w:t xml:space="preserve">ransparencia y </w:t>
      </w:r>
      <w:r w:rsidR="00C64C18" w:rsidRPr="005A4565">
        <w:rPr>
          <w:rFonts w:ascii="Calibri" w:hAnsi="Calibri"/>
          <w:sz w:val="28"/>
          <w:szCs w:val="28"/>
          <w:lang w:val="es-MX"/>
        </w:rPr>
        <w:t>A</w:t>
      </w:r>
      <w:r w:rsidR="00D24E9F" w:rsidRPr="005A4565">
        <w:rPr>
          <w:rFonts w:ascii="Calibri" w:hAnsi="Calibri"/>
          <w:sz w:val="28"/>
          <w:szCs w:val="28"/>
          <w:lang w:val="es-MX"/>
        </w:rPr>
        <w:t xml:space="preserve">cceso a la </w:t>
      </w:r>
      <w:r w:rsidR="00C64C18" w:rsidRPr="005A4565">
        <w:rPr>
          <w:rFonts w:ascii="Calibri" w:hAnsi="Calibri"/>
          <w:sz w:val="28"/>
          <w:szCs w:val="28"/>
          <w:lang w:val="es-MX"/>
        </w:rPr>
        <w:t>I</w:t>
      </w:r>
      <w:r w:rsidR="00D24E9F" w:rsidRPr="005A4565">
        <w:rPr>
          <w:rFonts w:ascii="Calibri" w:hAnsi="Calibri"/>
          <w:sz w:val="28"/>
          <w:szCs w:val="28"/>
          <w:lang w:val="es-MX"/>
        </w:rPr>
        <w:t xml:space="preserve">nformación </w:t>
      </w:r>
      <w:r w:rsidR="00C64C18" w:rsidRPr="005A4565">
        <w:rPr>
          <w:rFonts w:ascii="Calibri" w:hAnsi="Calibri"/>
          <w:sz w:val="28"/>
          <w:szCs w:val="28"/>
          <w:lang w:val="es-MX"/>
        </w:rPr>
        <w:t>P</w:t>
      </w:r>
      <w:r w:rsidR="00D24E9F" w:rsidRPr="005A4565">
        <w:rPr>
          <w:rFonts w:ascii="Calibri" w:hAnsi="Calibri"/>
          <w:sz w:val="28"/>
          <w:szCs w:val="28"/>
          <w:lang w:val="es-MX"/>
        </w:rPr>
        <w:t xml:space="preserve">ública </w:t>
      </w:r>
      <w:r w:rsidR="00C64C18" w:rsidRPr="005A4565">
        <w:rPr>
          <w:rFonts w:ascii="Calibri" w:hAnsi="Calibri"/>
          <w:sz w:val="28"/>
          <w:szCs w:val="28"/>
          <w:lang w:val="es-MX"/>
        </w:rPr>
        <w:t>G</w:t>
      </w:r>
      <w:r w:rsidR="00D24E9F" w:rsidRPr="005A4565">
        <w:rPr>
          <w:rFonts w:ascii="Calibri" w:hAnsi="Calibri"/>
          <w:sz w:val="28"/>
          <w:szCs w:val="28"/>
          <w:lang w:val="es-MX"/>
        </w:rPr>
        <w:t>ubernamental</w:t>
      </w:r>
      <w:r w:rsidR="00C64C18" w:rsidRPr="005A4565">
        <w:rPr>
          <w:rFonts w:ascii="Calibri" w:hAnsi="Calibri"/>
          <w:sz w:val="28"/>
          <w:szCs w:val="28"/>
          <w:lang w:val="es-MX"/>
        </w:rPr>
        <w:t xml:space="preserve"> en la Cámara de Senadores </w:t>
      </w:r>
      <w:r w:rsidRPr="005A4565">
        <w:rPr>
          <w:rFonts w:ascii="Calibri" w:hAnsi="Calibri"/>
          <w:sz w:val="28"/>
          <w:szCs w:val="28"/>
        </w:rPr>
        <w:t>y</w:t>
      </w:r>
    </w:p>
    <w:p w:rsidR="00C64C18" w:rsidRPr="005A4565" w:rsidRDefault="00C64C18" w:rsidP="00F16001">
      <w:pPr>
        <w:jc w:val="both"/>
        <w:rPr>
          <w:rFonts w:ascii="Calibri" w:hAnsi="Calibri"/>
          <w:sz w:val="28"/>
          <w:szCs w:val="28"/>
        </w:rPr>
      </w:pPr>
    </w:p>
    <w:p w:rsidR="00581300" w:rsidRPr="005A4565" w:rsidRDefault="00581300" w:rsidP="00D24E9F">
      <w:pPr>
        <w:jc w:val="center"/>
        <w:rPr>
          <w:rFonts w:ascii="Calibri" w:hAnsi="Calibri"/>
          <w:b/>
          <w:sz w:val="28"/>
          <w:szCs w:val="28"/>
        </w:rPr>
      </w:pPr>
      <w:r w:rsidRPr="005A4565">
        <w:rPr>
          <w:rFonts w:ascii="Calibri" w:hAnsi="Calibri"/>
          <w:b/>
          <w:sz w:val="28"/>
          <w:szCs w:val="28"/>
        </w:rPr>
        <w:t>CONSIDERANDO</w:t>
      </w:r>
    </w:p>
    <w:p w:rsidR="00C64C18" w:rsidRPr="005A4565" w:rsidRDefault="00C64C18" w:rsidP="00F16001">
      <w:pPr>
        <w:jc w:val="both"/>
        <w:rPr>
          <w:rFonts w:ascii="Calibri" w:hAnsi="Calibri"/>
          <w:sz w:val="28"/>
          <w:szCs w:val="28"/>
        </w:rPr>
      </w:pPr>
    </w:p>
    <w:p w:rsidR="00B12969" w:rsidRDefault="00B12969" w:rsidP="00B12969">
      <w:pPr>
        <w:jc w:val="both"/>
        <w:rPr>
          <w:rFonts w:ascii="Calibri" w:hAnsi="Calibri"/>
          <w:sz w:val="28"/>
          <w:szCs w:val="28"/>
          <w:lang w:val="es-MX"/>
        </w:rPr>
      </w:pPr>
      <w:r w:rsidRPr="005A4565">
        <w:rPr>
          <w:rFonts w:ascii="Calibri" w:hAnsi="Calibri"/>
          <w:sz w:val="28"/>
          <w:szCs w:val="28"/>
          <w:lang w:val="es-MX"/>
        </w:rPr>
        <w:t>Que de conformidad con los artículos 155 y 156 del Reglamento del Senado de la República, los comités son órganos auxiliares creados por el Pleno para coadyuvar al funcionamiento interno del Senado y para el desarrollo de las funciones a su cargo, distintas a las de las comisiones, entre otras, tienen la atribución de proponer normas y directrices</w:t>
      </w:r>
      <w:r>
        <w:rPr>
          <w:rFonts w:ascii="Calibri" w:hAnsi="Calibri"/>
          <w:sz w:val="28"/>
          <w:szCs w:val="28"/>
          <w:lang w:val="es-MX"/>
        </w:rPr>
        <w:t>.</w:t>
      </w:r>
    </w:p>
    <w:p w:rsidR="00B12969" w:rsidRDefault="00B12969" w:rsidP="00B12969">
      <w:pPr>
        <w:jc w:val="both"/>
        <w:rPr>
          <w:rFonts w:ascii="Calibri" w:hAnsi="Calibri"/>
          <w:sz w:val="28"/>
          <w:szCs w:val="28"/>
          <w:lang w:val="es-MX"/>
        </w:rPr>
      </w:pPr>
    </w:p>
    <w:p w:rsidR="00C64C18" w:rsidRPr="005A4565" w:rsidRDefault="00F16001" w:rsidP="00F16001">
      <w:pPr>
        <w:jc w:val="both"/>
        <w:rPr>
          <w:rFonts w:ascii="Calibri" w:hAnsi="Calibri"/>
          <w:sz w:val="28"/>
          <w:szCs w:val="28"/>
          <w:lang w:val="es-MX"/>
        </w:rPr>
      </w:pPr>
      <w:r w:rsidRPr="005A4565">
        <w:rPr>
          <w:rFonts w:ascii="Calibri" w:hAnsi="Calibri"/>
          <w:sz w:val="28"/>
          <w:szCs w:val="28"/>
          <w:lang w:val="es-MX"/>
        </w:rPr>
        <w:t>Que el Comité de Garantía de Acceso  y Transparencia de la Información del Senado de la República (COGATI), es el órgano garante, especializado e imparcial, responsable de coordinar y supervisar el adecuado cumplimiento de la Ley Federal de Transparencia y Acceso a la Información Pública Gubernamental por parte de los órganos y unidades administrativas del Senado.</w:t>
      </w:r>
    </w:p>
    <w:p w:rsidR="00F16001" w:rsidRPr="005A4565" w:rsidRDefault="00F16001" w:rsidP="00F16001">
      <w:pPr>
        <w:jc w:val="both"/>
        <w:rPr>
          <w:rFonts w:ascii="Calibri" w:hAnsi="Calibri"/>
          <w:sz w:val="28"/>
          <w:szCs w:val="28"/>
        </w:rPr>
      </w:pPr>
    </w:p>
    <w:p w:rsidR="00581300" w:rsidRPr="005A4565" w:rsidRDefault="00581300" w:rsidP="00F16001">
      <w:pPr>
        <w:jc w:val="both"/>
        <w:rPr>
          <w:rFonts w:ascii="Calibri" w:hAnsi="Calibri"/>
          <w:sz w:val="28"/>
          <w:szCs w:val="28"/>
        </w:rPr>
      </w:pPr>
      <w:r w:rsidRPr="005A4565">
        <w:rPr>
          <w:rFonts w:ascii="Calibri" w:hAnsi="Calibri"/>
          <w:sz w:val="28"/>
          <w:szCs w:val="28"/>
        </w:rPr>
        <w:t>Que en el ejercicio de estas funciones</w:t>
      </w:r>
      <w:r w:rsidR="003669F7" w:rsidRPr="005A4565">
        <w:rPr>
          <w:rFonts w:ascii="Calibri" w:hAnsi="Calibri"/>
          <w:sz w:val="28"/>
          <w:szCs w:val="28"/>
        </w:rPr>
        <w:t>,</w:t>
      </w:r>
      <w:r w:rsidRPr="005A4565">
        <w:rPr>
          <w:rFonts w:ascii="Calibri" w:hAnsi="Calibri"/>
          <w:sz w:val="28"/>
          <w:szCs w:val="28"/>
        </w:rPr>
        <w:t xml:space="preserve"> el </w:t>
      </w:r>
      <w:r w:rsidR="00F16001" w:rsidRPr="005A4565">
        <w:rPr>
          <w:rFonts w:ascii="Calibri" w:hAnsi="Calibri"/>
          <w:sz w:val="28"/>
          <w:szCs w:val="28"/>
        </w:rPr>
        <w:t>COGATI</w:t>
      </w:r>
      <w:r w:rsidRPr="005A4565">
        <w:rPr>
          <w:rFonts w:ascii="Calibri" w:hAnsi="Calibri"/>
          <w:sz w:val="28"/>
          <w:szCs w:val="28"/>
        </w:rPr>
        <w:t xml:space="preserve"> debe contemplar los plazos establecidos en la legislación aplicable, considerando los días inhábiles; </w:t>
      </w:r>
      <w:r w:rsidR="00712700">
        <w:rPr>
          <w:rFonts w:ascii="Calibri" w:hAnsi="Calibri"/>
          <w:sz w:val="28"/>
          <w:szCs w:val="28"/>
        </w:rPr>
        <w:t xml:space="preserve">a efecto de agilizar el procedimiento de atención a solicitudes de información, </w:t>
      </w:r>
      <w:r w:rsidRPr="005A4565">
        <w:rPr>
          <w:rFonts w:ascii="Calibri" w:hAnsi="Calibri"/>
          <w:sz w:val="28"/>
          <w:szCs w:val="28"/>
        </w:rPr>
        <w:t>lo cual conlleva a la necesidad de establecer el calendario para la suspensión de labores, para efectos de la recepción y resolución de solicitudes de acceso a información, respecto a la interposición, plazos y resolución de los asuntos de su competencia</w:t>
      </w:r>
      <w:r w:rsidR="00F16001" w:rsidRPr="005A4565">
        <w:rPr>
          <w:rFonts w:ascii="Calibri" w:hAnsi="Calibri"/>
          <w:sz w:val="28"/>
          <w:szCs w:val="28"/>
        </w:rPr>
        <w:t xml:space="preserve"> y de la Unidad de Enlace</w:t>
      </w:r>
      <w:r w:rsidRPr="005A4565">
        <w:rPr>
          <w:rFonts w:ascii="Calibri" w:hAnsi="Calibri"/>
          <w:sz w:val="28"/>
          <w:szCs w:val="28"/>
        </w:rPr>
        <w:t>.</w:t>
      </w:r>
    </w:p>
    <w:p w:rsidR="00F16001" w:rsidRPr="005A4565" w:rsidRDefault="00F16001" w:rsidP="00F16001">
      <w:pPr>
        <w:jc w:val="both"/>
        <w:rPr>
          <w:rFonts w:ascii="Calibri" w:hAnsi="Calibri"/>
          <w:sz w:val="28"/>
          <w:szCs w:val="28"/>
        </w:rPr>
      </w:pPr>
    </w:p>
    <w:p w:rsidR="00712700" w:rsidRDefault="00712700" w:rsidP="00F1600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Que por lo que hace al año 2013, durante la legislatura LXII, se dictó por parte de este órgano colegiado, el acuerdo de sus</w:t>
      </w:r>
      <w:r w:rsidR="00B12969">
        <w:rPr>
          <w:rFonts w:ascii="Calibri" w:hAnsi="Calibri"/>
          <w:sz w:val="28"/>
          <w:szCs w:val="28"/>
        </w:rPr>
        <w:t xml:space="preserve">pensión de labores, inclusive, </w:t>
      </w:r>
      <w:r>
        <w:rPr>
          <w:rFonts w:ascii="Calibri" w:hAnsi="Calibri"/>
          <w:sz w:val="28"/>
          <w:szCs w:val="28"/>
        </w:rPr>
        <w:t>des</w:t>
      </w:r>
      <w:r w:rsidR="00C7484F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e diciembre del 2012 a enero de</w:t>
      </w:r>
      <w:r w:rsidR="00C7484F">
        <w:rPr>
          <w:rFonts w:ascii="Calibri" w:hAnsi="Calibri"/>
          <w:sz w:val="28"/>
          <w:szCs w:val="28"/>
        </w:rPr>
        <w:t>l</w:t>
      </w:r>
      <w:r>
        <w:rPr>
          <w:rFonts w:ascii="Calibri" w:hAnsi="Calibri"/>
          <w:sz w:val="28"/>
          <w:szCs w:val="28"/>
        </w:rPr>
        <w:t xml:space="preserve"> 2014.</w:t>
      </w:r>
    </w:p>
    <w:p w:rsidR="00483A48" w:rsidRDefault="00483A48" w:rsidP="00F16001">
      <w:pPr>
        <w:jc w:val="both"/>
        <w:rPr>
          <w:rFonts w:ascii="Calibri" w:hAnsi="Calibri"/>
          <w:sz w:val="28"/>
          <w:szCs w:val="28"/>
        </w:rPr>
      </w:pPr>
    </w:p>
    <w:p w:rsidR="00483A48" w:rsidRPr="005A4565" w:rsidRDefault="00483A48" w:rsidP="00F1600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Que para el año 2014, durante la misma legislatura, fueron considerados días inhábiles a considerar en el procedimiento de acceso a la información en el Acuerdo relacionado con el tema, hasta el mes de enero del año 2015.</w:t>
      </w:r>
    </w:p>
    <w:p w:rsidR="00DB1B70" w:rsidRPr="005A4565" w:rsidRDefault="00DB1B70" w:rsidP="00F16001">
      <w:pPr>
        <w:jc w:val="both"/>
        <w:rPr>
          <w:rFonts w:ascii="Calibri" w:hAnsi="Calibri"/>
          <w:sz w:val="28"/>
          <w:szCs w:val="28"/>
        </w:rPr>
      </w:pPr>
    </w:p>
    <w:p w:rsidR="0000709A" w:rsidRPr="005A4565" w:rsidRDefault="0000709A" w:rsidP="00F16001">
      <w:pPr>
        <w:jc w:val="both"/>
        <w:rPr>
          <w:rFonts w:ascii="Calibri" w:hAnsi="Calibri"/>
          <w:sz w:val="28"/>
          <w:szCs w:val="28"/>
        </w:rPr>
      </w:pPr>
      <w:r w:rsidRPr="0000709A">
        <w:rPr>
          <w:rFonts w:ascii="Calibri" w:hAnsi="Calibri"/>
          <w:sz w:val="28"/>
          <w:szCs w:val="28"/>
        </w:rPr>
        <w:t>Expuestos los considerandos anteriores, se aprueba el siguiente</w:t>
      </w:r>
    </w:p>
    <w:p w:rsidR="00DB1B70" w:rsidRPr="005A4565" w:rsidRDefault="00DB1B70" w:rsidP="00581300">
      <w:pPr>
        <w:rPr>
          <w:rFonts w:ascii="Calibri" w:hAnsi="Calibri"/>
          <w:sz w:val="28"/>
          <w:szCs w:val="28"/>
        </w:rPr>
      </w:pPr>
    </w:p>
    <w:p w:rsidR="00581300" w:rsidRPr="005A4565" w:rsidRDefault="00581300" w:rsidP="00F16001">
      <w:pPr>
        <w:jc w:val="center"/>
        <w:rPr>
          <w:rFonts w:ascii="Calibri" w:hAnsi="Calibri"/>
          <w:b/>
          <w:sz w:val="28"/>
          <w:szCs w:val="28"/>
        </w:rPr>
      </w:pPr>
      <w:r w:rsidRPr="005A4565">
        <w:rPr>
          <w:rFonts w:ascii="Calibri" w:hAnsi="Calibri"/>
          <w:b/>
          <w:sz w:val="28"/>
          <w:szCs w:val="28"/>
        </w:rPr>
        <w:t>ACUERDO</w:t>
      </w:r>
    </w:p>
    <w:p w:rsidR="00C64C18" w:rsidRPr="005A4565" w:rsidRDefault="00C64C18" w:rsidP="00581300">
      <w:pPr>
        <w:rPr>
          <w:rFonts w:ascii="Calibri" w:hAnsi="Calibri"/>
          <w:sz w:val="28"/>
          <w:szCs w:val="28"/>
        </w:rPr>
      </w:pPr>
    </w:p>
    <w:p w:rsidR="00F420C3" w:rsidRPr="005A4565" w:rsidRDefault="00D24E9F" w:rsidP="00B12969">
      <w:pPr>
        <w:jc w:val="both"/>
        <w:rPr>
          <w:rFonts w:ascii="Calibri" w:hAnsi="Calibri"/>
          <w:sz w:val="28"/>
          <w:szCs w:val="28"/>
        </w:rPr>
      </w:pPr>
      <w:r w:rsidRPr="005A4565">
        <w:rPr>
          <w:rFonts w:ascii="Calibri" w:hAnsi="Calibri"/>
          <w:b/>
          <w:sz w:val="28"/>
          <w:szCs w:val="28"/>
        </w:rPr>
        <w:t>ÚNICO</w:t>
      </w:r>
      <w:r w:rsidR="00581300" w:rsidRPr="005A4565">
        <w:rPr>
          <w:rFonts w:ascii="Calibri" w:hAnsi="Calibri"/>
          <w:sz w:val="28"/>
          <w:szCs w:val="28"/>
        </w:rPr>
        <w:t xml:space="preserve">.- </w:t>
      </w:r>
      <w:r w:rsidR="00B12969">
        <w:rPr>
          <w:rFonts w:ascii="Calibri" w:hAnsi="Calibri"/>
          <w:sz w:val="28"/>
          <w:szCs w:val="28"/>
        </w:rPr>
        <w:t xml:space="preserve">Para efectos del cómputo de plazos para </w:t>
      </w:r>
      <w:r w:rsidR="00581300" w:rsidRPr="005A4565">
        <w:rPr>
          <w:rFonts w:ascii="Calibri" w:hAnsi="Calibri"/>
          <w:sz w:val="28"/>
          <w:szCs w:val="28"/>
        </w:rPr>
        <w:t xml:space="preserve">la atención de los asuntos </w:t>
      </w:r>
      <w:r w:rsidR="00B12969">
        <w:rPr>
          <w:rFonts w:ascii="Calibri" w:hAnsi="Calibri"/>
          <w:sz w:val="28"/>
          <w:szCs w:val="28"/>
        </w:rPr>
        <w:t xml:space="preserve">relacionados con el Derecho de Acceso a la Información, </w:t>
      </w:r>
      <w:r w:rsidR="00581300" w:rsidRPr="005A4565">
        <w:rPr>
          <w:rFonts w:ascii="Calibri" w:hAnsi="Calibri"/>
          <w:sz w:val="28"/>
          <w:szCs w:val="28"/>
        </w:rPr>
        <w:t xml:space="preserve">establecido en </w:t>
      </w:r>
      <w:r w:rsidR="00F420C3" w:rsidRPr="005A4565">
        <w:rPr>
          <w:rFonts w:ascii="Calibri" w:hAnsi="Calibri"/>
          <w:sz w:val="28"/>
          <w:szCs w:val="28"/>
        </w:rPr>
        <w:t xml:space="preserve">el Reglamento del Senado de la República y en el </w:t>
      </w:r>
      <w:r w:rsidR="00F420C3" w:rsidRPr="005A4565">
        <w:rPr>
          <w:rFonts w:ascii="Calibri" w:hAnsi="Calibri"/>
          <w:sz w:val="28"/>
          <w:szCs w:val="28"/>
          <w:lang w:val="es-MX"/>
        </w:rPr>
        <w:t>Acuerdo Parlamentario para la Aplicación de la Ley Federal de Transparencia y Acceso a la Información Pública Gubernamental en la Cámara de Senadores</w:t>
      </w:r>
      <w:r w:rsidR="00581300" w:rsidRPr="005A4565">
        <w:rPr>
          <w:rFonts w:ascii="Calibri" w:hAnsi="Calibri"/>
          <w:sz w:val="28"/>
          <w:szCs w:val="28"/>
        </w:rPr>
        <w:t xml:space="preserve">, </w:t>
      </w:r>
      <w:r w:rsidR="00B12969">
        <w:rPr>
          <w:rFonts w:ascii="Calibri" w:hAnsi="Calibri"/>
          <w:sz w:val="28"/>
          <w:szCs w:val="28"/>
        </w:rPr>
        <w:t xml:space="preserve">se considerarán inhábiles </w:t>
      </w:r>
      <w:r w:rsidR="00581300" w:rsidRPr="005A4565">
        <w:rPr>
          <w:rFonts w:ascii="Calibri" w:hAnsi="Calibri"/>
          <w:sz w:val="28"/>
          <w:szCs w:val="28"/>
        </w:rPr>
        <w:t>los siguientes</w:t>
      </w:r>
      <w:r w:rsidR="00F420C3" w:rsidRPr="005A4565">
        <w:rPr>
          <w:rFonts w:ascii="Calibri" w:hAnsi="Calibri"/>
          <w:sz w:val="28"/>
          <w:szCs w:val="28"/>
        </w:rPr>
        <w:t xml:space="preserve"> días</w:t>
      </w:r>
      <w:r w:rsidR="00581300" w:rsidRPr="005A4565">
        <w:rPr>
          <w:rFonts w:ascii="Calibri" w:hAnsi="Calibri"/>
          <w:sz w:val="28"/>
          <w:szCs w:val="28"/>
        </w:rPr>
        <w:t>:</w:t>
      </w:r>
    </w:p>
    <w:p w:rsidR="00DB1B70" w:rsidRPr="005A4565" w:rsidRDefault="00DB1B70" w:rsidP="00581300">
      <w:pPr>
        <w:rPr>
          <w:rFonts w:ascii="Calibri" w:hAnsi="Calibri"/>
          <w:sz w:val="28"/>
          <w:szCs w:val="28"/>
        </w:rPr>
      </w:pPr>
    </w:p>
    <w:p w:rsidR="00581300" w:rsidRPr="005A4565" w:rsidRDefault="00581300" w:rsidP="00D24E9F">
      <w:pPr>
        <w:pStyle w:val="Prrafodelist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A4565">
        <w:rPr>
          <w:rFonts w:ascii="Calibri" w:hAnsi="Calibri"/>
          <w:sz w:val="28"/>
          <w:szCs w:val="28"/>
        </w:rPr>
        <w:t>FEBRERO:</w:t>
      </w:r>
    </w:p>
    <w:p w:rsidR="00F420C3" w:rsidRPr="004E2F45" w:rsidRDefault="00B12969" w:rsidP="00D24E9F">
      <w:pPr>
        <w:pStyle w:val="Prrafodeli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Lunes</w:t>
      </w:r>
      <w:r w:rsidR="00892A86" w:rsidRPr="004E2F45">
        <w:rPr>
          <w:rFonts w:ascii="Calibri" w:hAnsi="Calibri"/>
          <w:sz w:val="28"/>
          <w:szCs w:val="28"/>
        </w:rPr>
        <w:t xml:space="preserve"> </w:t>
      </w:r>
      <w:r w:rsidR="00483A48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 (en conmemoración del día 5)</w:t>
      </w:r>
      <w:r w:rsidR="00892A86" w:rsidRPr="004E2F45">
        <w:rPr>
          <w:rFonts w:ascii="Calibri" w:hAnsi="Calibri"/>
          <w:sz w:val="28"/>
          <w:szCs w:val="28"/>
        </w:rPr>
        <w:t xml:space="preserve">. </w:t>
      </w:r>
    </w:p>
    <w:p w:rsidR="00581300" w:rsidRPr="005A4565" w:rsidRDefault="00581300" w:rsidP="00D24E9F">
      <w:pPr>
        <w:pStyle w:val="Prrafodelist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A4565">
        <w:rPr>
          <w:rFonts w:ascii="Calibri" w:hAnsi="Calibri"/>
          <w:sz w:val="28"/>
          <w:szCs w:val="28"/>
        </w:rPr>
        <w:t>MARZO:</w:t>
      </w:r>
    </w:p>
    <w:p w:rsidR="00F420C3" w:rsidRDefault="00B12969" w:rsidP="00D24E9F">
      <w:pPr>
        <w:pStyle w:val="Prrafodeli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Lunes 1</w:t>
      </w:r>
      <w:r w:rsidR="00483A48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 xml:space="preserve"> (en conmemoración del día 21)</w:t>
      </w:r>
      <w:r w:rsidR="00892A86" w:rsidRPr="004E2F45">
        <w:rPr>
          <w:rFonts w:ascii="Calibri" w:hAnsi="Calibri"/>
          <w:sz w:val="28"/>
          <w:szCs w:val="28"/>
        </w:rPr>
        <w:t>.</w:t>
      </w:r>
    </w:p>
    <w:p w:rsidR="00221124" w:rsidRPr="004E2F45" w:rsidRDefault="00221124" w:rsidP="00D24E9F">
      <w:pPr>
        <w:pStyle w:val="Prrafodeli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Lunes 30 y Martes 31.</w:t>
      </w:r>
    </w:p>
    <w:p w:rsidR="003E2950" w:rsidRDefault="003E2950" w:rsidP="003E2950">
      <w:pPr>
        <w:pStyle w:val="Prrafodelista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ABRIL:</w:t>
      </w:r>
    </w:p>
    <w:p w:rsidR="00221124" w:rsidRDefault="003E2950" w:rsidP="003E2950">
      <w:pPr>
        <w:pStyle w:val="Prrafodeli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</w:t>
      </w:r>
      <w:r w:rsidR="00221124">
        <w:rPr>
          <w:rFonts w:ascii="Calibri" w:hAnsi="Calibri"/>
          <w:sz w:val="28"/>
          <w:szCs w:val="28"/>
        </w:rPr>
        <w:t>l miércoles 1 al Viernes 3.</w:t>
      </w:r>
    </w:p>
    <w:p w:rsidR="00581300" w:rsidRPr="005A4565" w:rsidRDefault="00581300" w:rsidP="00D24E9F">
      <w:pPr>
        <w:pStyle w:val="Prrafodelist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A4565">
        <w:rPr>
          <w:rFonts w:ascii="Calibri" w:hAnsi="Calibri"/>
          <w:sz w:val="28"/>
          <w:szCs w:val="28"/>
        </w:rPr>
        <w:t>MAYO:</w:t>
      </w:r>
    </w:p>
    <w:p w:rsidR="00F420C3" w:rsidRPr="004E2F45" w:rsidRDefault="00221124" w:rsidP="00D24E9F">
      <w:pPr>
        <w:pStyle w:val="Prrafodeli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Viernes</w:t>
      </w:r>
      <w:r w:rsidR="00892A86" w:rsidRPr="004E2F45">
        <w:rPr>
          <w:rFonts w:ascii="Calibri" w:hAnsi="Calibri"/>
          <w:sz w:val="28"/>
          <w:szCs w:val="28"/>
        </w:rPr>
        <w:t xml:space="preserve"> 1º</w:t>
      </w:r>
      <w:r w:rsidR="00B12969">
        <w:rPr>
          <w:rFonts w:ascii="Calibri" w:hAnsi="Calibri"/>
          <w:sz w:val="28"/>
          <w:szCs w:val="28"/>
        </w:rPr>
        <w:t xml:space="preserve"> y </w:t>
      </w:r>
      <w:r>
        <w:rPr>
          <w:rFonts w:ascii="Calibri" w:hAnsi="Calibri"/>
          <w:sz w:val="28"/>
          <w:szCs w:val="28"/>
        </w:rPr>
        <w:t>Martes 5.</w:t>
      </w:r>
    </w:p>
    <w:p w:rsidR="00581300" w:rsidRPr="005A4565" w:rsidRDefault="00581300" w:rsidP="00D24E9F">
      <w:pPr>
        <w:pStyle w:val="Prrafodelist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A4565">
        <w:rPr>
          <w:rFonts w:ascii="Calibri" w:hAnsi="Calibri"/>
          <w:sz w:val="28"/>
          <w:szCs w:val="28"/>
        </w:rPr>
        <w:t>SEPTIEMBRE:</w:t>
      </w:r>
    </w:p>
    <w:p w:rsidR="00F420C3" w:rsidRPr="004E2F45" w:rsidRDefault="00B66EFF" w:rsidP="00D24E9F">
      <w:pPr>
        <w:pStyle w:val="Prrafodeli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Miércoles</w:t>
      </w:r>
      <w:r w:rsidR="00B12969">
        <w:rPr>
          <w:rFonts w:ascii="Calibri" w:hAnsi="Calibri"/>
          <w:sz w:val="28"/>
          <w:szCs w:val="28"/>
        </w:rPr>
        <w:t xml:space="preserve"> </w:t>
      </w:r>
      <w:r w:rsidR="00892A86" w:rsidRPr="004E2F45">
        <w:rPr>
          <w:rFonts w:ascii="Calibri" w:hAnsi="Calibri"/>
          <w:sz w:val="28"/>
          <w:szCs w:val="28"/>
        </w:rPr>
        <w:t>16.</w:t>
      </w:r>
    </w:p>
    <w:p w:rsidR="00581300" w:rsidRPr="005A4565" w:rsidRDefault="00581300" w:rsidP="00D24E9F">
      <w:pPr>
        <w:pStyle w:val="Prrafodelist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A4565">
        <w:rPr>
          <w:rFonts w:ascii="Calibri" w:hAnsi="Calibri"/>
          <w:sz w:val="28"/>
          <w:szCs w:val="28"/>
        </w:rPr>
        <w:t>NOVIEMBRE:</w:t>
      </w:r>
    </w:p>
    <w:p w:rsidR="00F420C3" w:rsidRPr="004E2F45" w:rsidRDefault="00B12969" w:rsidP="00D24E9F">
      <w:pPr>
        <w:pStyle w:val="Prrafodeli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Lunes 1</w:t>
      </w:r>
      <w:r w:rsidR="00B66EFF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 xml:space="preserve"> (en conmemoración del día </w:t>
      </w:r>
      <w:r w:rsidR="00892A86" w:rsidRPr="004E2F45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)</w:t>
      </w:r>
      <w:r w:rsidR="00892A86" w:rsidRPr="004E2F45">
        <w:rPr>
          <w:rFonts w:ascii="Calibri" w:hAnsi="Calibri"/>
          <w:sz w:val="28"/>
          <w:szCs w:val="28"/>
        </w:rPr>
        <w:t>.</w:t>
      </w:r>
    </w:p>
    <w:p w:rsidR="00581300" w:rsidRPr="005A4565" w:rsidRDefault="00581300" w:rsidP="00D24E9F">
      <w:pPr>
        <w:pStyle w:val="Prrafodelist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A4565">
        <w:rPr>
          <w:rFonts w:ascii="Calibri" w:hAnsi="Calibri"/>
          <w:sz w:val="28"/>
          <w:szCs w:val="28"/>
        </w:rPr>
        <w:lastRenderedPageBreak/>
        <w:t>DICIEMBRE</w:t>
      </w:r>
      <w:r w:rsidR="00F420C3" w:rsidRPr="005A4565">
        <w:rPr>
          <w:rFonts w:ascii="Calibri" w:hAnsi="Calibri"/>
          <w:sz w:val="28"/>
          <w:szCs w:val="28"/>
        </w:rPr>
        <w:t xml:space="preserve"> </w:t>
      </w:r>
      <w:r w:rsidR="00631625" w:rsidRPr="005A4565">
        <w:rPr>
          <w:rFonts w:ascii="Calibri" w:hAnsi="Calibri"/>
          <w:sz w:val="28"/>
          <w:szCs w:val="28"/>
        </w:rPr>
        <w:t xml:space="preserve">DE </w:t>
      </w:r>
      <w:r w:rsidR="00F420C3" w:rsidRPr="005A4565">
        <w:rPr>
          <w:rFonts w:ascii="Calibri" w:hAnsi="Calibri"/>
          <w:sz w:val="28"/>
          <w:szCs w:val="28"/>
        </w:rPr>
        <w:t>201</w:t>
      </w:r>
      <w:r w:rsidR="00B66EFF">
        <w:rPr>
          <w:rFonts w:ascii="Calibri" w:hAnsi="Calibri"/>
          <w:sz w:val="28"/>
          <w:szCs w:val="28"/>
        </w:rPr>
        <w:t>5</w:t>
      </w:r>
      <w:r w:rsidR="00F420C3" w:rsidRPr="005A4565">
        <w:rPr>
          <w:rFonts w:ascii="Calibri" w:hAnsi="Calibri"/>
          <w:sz w:val="28"/>
          <w:szCs w:val="28"/>
        </w:rPr>
        <w:t xml:space="preserve"> </w:t>
      </w:r>
      <w:r w:rsidR="00631625" w:rsidRPr="005A4565">
        <w:rPr>
          <w:rFonts w:ascii="Calibri" w:hAnsi="Calibri"/>
          <w:sz w:val="28"/>
          <w:szCs w:val="28"/>
        </w:rPr>
        <w:t xml:space="preserve">Y </w:t>
      </w:r>
      <w:r w:rsidR="00F420C3" w:rsidRPr="005A4565">
        <w:rPr>
          <w:rFonts w:ascii="Calibri" w:hAnsi="Calibri"/>
          <w:sz w:val="28"/>
          <w:szCs w:val="28"/>
        </w:rPr>
        <w:t xml:space="preserve">ENERO </w:t>
      </w:r>
      <w:r w:rsidR="00631625" w:rsidRPr="005A4565">
        <w:rPr>
          <w:rFonts w:ascii="Calibri" w:hAnsi="Calibri"/>
          <w:sz w:val="28"/>
          <w:szCs w:val="28"/>
        </w:rPr>
        <w:t xml:space="preserve">DE </w:t>
      </w:r>
      <w:r w:rsidR="00F420C3" w:rsidRPr="005A4565">
        <w:rPr>
          <w:rFonts w:ascii="Calibri" w:hAnsi="Calibri"/>
          <w:sz w:val="28"/>
          <w:szCs w:val="28"/>
        </w:rPr>
        <w:t>201</w:t>
      </w:r>
      <w:r w:rsidR="00B66EFF">
        <w:rPr>
          <w:rFonts w:ascii="Calibri" w:hAnsi="Calibri"/>
          <w:sz w:val="28"/>
          <w:szCs w:val="28"/>
        </w:rPr>
        <w:t>6</w:t>
      </w:r>
      <w:r w:rsidR="00AE1792">
        <w:rPr>
          <w:rFonts w:ascii="Calibri" w:hAnsi="Calibri"/>
          <w:sz w:val="28"/>
          <w:szCs w:val="28"/>
        </w:rPr>
        <w:t>:</w:t>
      </w:r>
    </w:p>
    <w:p w:rsidR="00C64C18" w:rsidRPr="004E2F45" w:rsidRDefault="00B66EFF" w:rsidP="00D24E9F">
      <w:pPr>
        <w:pStyle w:val="Prrafodeli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Del lunes 21</w:t>
      </w:r>
      <w:r w:rsidR="00892A86" w:rsidRPr="004E2F45">
        <w:rPr>
          <w:rFonts w:ascii="Calibri" w:hAnsi="Calibri"/>
          <w:sz w:val="28"/>
          <w:szCs w:val="28"/>
        </w:rPr>
        <w:t xml:space="preserve"> de diciembre al </w:t>
      </w:r>
      <w:r>
        <w:rPr>
          <w:rFonts w:ascii="Calibri" w:hAnsi="Calibri"/>
          <w:sz w:val="28"/>
          <w:szCs w:val="28"/>
        </w:rPr>
        <w:t>lunes</w:t>
      </w:r>
      <w:r w:rsidR="00892A86" w:rsidRPr="004E2F4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4</w:t>
      </w:r>
      <w:r w:rsidR="00892A86" w:rsidRPr="004E2F45">
        <w:rPr>
          <w:rFonts w:ascii="Calibri" w:hAnsi="Calibri"/>
          <w:sz w:val="28"/>
          <w:szCs w:val="28"/>
        </w:rPr>
        <w:t xml:space="preserve"> de enero.</w:t>
      </w:r>
    </w:p>
    <w:p w:rsidR="003669F7" w:rsidRPr="005A4565" w:rsidRDefault="003669F7" w:rsidP="005A4565">
      <w:pPr>
        <w:jc w:val="center"/>
        <w:rPr>
          <w:rFonts w:ascii="Calibri" w:hAnsi="Calibri"/>
          <w:b/>
          <w:sz w:val="28"/>
          <w:szCs w:val="28"/>
          <w:lang w:val="es-ES"/>
        </w:rPr>
      </w:pPr>
      <w:r w:rsidRPr="005A4565">
        <w:rPr>
          <w:rFonts w:ascii="Calibri" w:hAnsi="Calibri"/>
          <w:b/>
          <w:sz w:val="28"/>
          <w:szCs w:val="28"/>
          <w:lang w:val="es-ES"/>
        </w:rPr>
        <w:t>Transitorio</w:t>
      </w:r>
    </w:p>
    <w:p w:rsidR="003669F7" w:rsidRPr="005A4565" w:rsidRDefault="003669F7" w:rsidP="003669F7">
      <w:pPr>
        <w:jc w:val="both"/>
        <w:rPr>
          <w:rFonts w:ascii="Calibri" w:hAnsi="Calibri"/>
          <w:b/>
          <w:sz w:val="28"/>
          <w:szCs w:val="28"/>
          <w:lang w:val="es-ES"/>
        </w:rPr>
      </w:pPr>
    </w:p>
    <w:p w:rsidR="003669F7" w:rsidRPr="005A4565" w:rsidRDefault="003669F7" w:rsidP="003669F7">
      <w:pPr>
        <w:jc w:val="both"/>
        <w:rPr>
          <w:rFonts w:ascii="Calibri" w:hAnsi="Calibri"/>
          <w:sz w:val="28"/>
          <w:szCs w:val="28"/>
          <w:lang w:val="es-ES"/>
        </w:rPr>
      </w:pPr>
      <w:r w:rsidRPr="005A4565">
        <w:rPr>
          <w:rFonts w:ascii="Calibri" w:hAnsi="Calibri"/>
          <w:b/>
          <w:sz w:val="28"/>
          <w:szCs w:val="28"/>
          <w:lang w:val="es-ES"/>
        </w:rPr>
        <w:t>Artículo Único.-</w:t>
      </w:r>
      <w:r w:rsidRPr="005A4565">
        <w:rPr>
          <w:rFonts w:ascii="Calibri" w:hAnsi="Calibri"/>
          <w:sz w:val="28"/>
          <w:szCs w:val="28"/>
          <w:lang w:val="es-ES"/>
        </w:rPr>
        <w:t xml:space="preserve"> El presente Acuerdo entrará en vigor al día siguiente de su publicación en la Gaceta Parlamentaria del Senado de la República.</w:t>
      </w:r>
    </w:p>
    <w:p w:rsidR="003669F7" w:rsidRPr="005A4565" w:rsidRDefault="003669F7" w:rsidP="003669F7">
      <w:pPr>
        <w:jc w:val="both"/>
        <w:rPr>
          <w:rFonts w:ascii="Calibri" w:hAnsi="Calibri"/>
          <w:sz w:val="28"/>
          <w:szCs w:val="28"/>
          <w:lang w:val="es-ES"/>
        </w:rPr>
      </w:pPr>
    </w:p>
    <w:p w:rsidR="00425F71" w:rsidRPr="005A4565" w:rsidRDefault="003669F7" w:rsidP="003669F7">
      <w:pPr>
        <w:jc w:val="both"/>
        <w:rPr>
          <w:rFonts w:ascii="Calibri" w:hAnsi="Calibri"/>
          <w:sz w:val="28"/>
          <w:szCs w:val="28"/>
          <w:lang w:val="es-ES"/>
        </w:rPr>
      </w:pPr>
      <w:r w:rsidRPr="005A4565">
        <w:rPr>
          <w:rFonts w:ascii="Calibri" w:hAnsi="Calibri"/>
          <w:sz w:val="28"/>
          <w:szCs w:val="28"/>
          <w:lang w:val="es-ES"/>
        </w:rPr>
        <w:t xml:space="preserve">Dado en la Sede del Senado de la República, a los </w:t>
      </w:r>
      <w:r w:rsidR="004D3D66">
        <w:rPr>
          <w:rFonts w:ascii="Calibri" w:hAnsi="Calibri"/>
          <w:sz w:val="28"/>
          <w:szCs w:val="28"/>
          <w:lang w:val="es-ES"/>
        </w:rPr>
        <w:t>10</w:t>
      </w:r>
      <w:r w:rsidR="004E2F45" w:rsidRPr="005A4565">
        <w:rPr>
          <w:rFonts w:ascii="Calibri" w:hAnsi="Calibri"/>
          <w:sz w:val="28"/>
          <w:szCs w:val="28"/>
          <w:lang w:val="es-ES"/>
        </w:rPr>
        <w:t xml:space="preserve"> </w:t>
      </w:r>
      <w:r w:rsidRPr="005A4565">
        <w:rPr>
          <w:rFonts w:ascii="Calibri" w:hAnsi="Calibri"/>
          <w:sz w:val="28"/>
          <w:szCs w:val="28"/>
          <w:lang w:val="es-ES"/>
        </w:rPr>
        <w:t xml:space="preserve">días del mes de </w:t>
      </w:r>
      <w:r w:rsidR="004D3D66">
        <w:rPr>
          <w:rFonts w:ascii="Calibri" w:hAnsi="Calibri"/>
          <w:sz w:val="28"/>
          <w:szCs w:val="28"/>
          <w:lang w:val="es-ES"/>
        </w:rPr>
        <w:t>diciembre</w:t>
      </w:r>
      <w:r w:rsidR="004E2F45" w:rsidRPr="005A4565">
        <w:rPr>
          <w:rFonts w:ascii="Calibri" w:hAnsi="Calibri"/>
          <w:sz w:val="28"/>
          <w:szCs w:val="28"/>
          <w:lang w:val="es-ES"/>
        </w:rPr>
        <w:t xml:space="preserve"> </w:t>
      </w:r>
      <w:r w:rsidRPr="005A4565">
        <w:rPr>
          <w:rFonts w:ascii="Calibri" w:hAnsi="Calibri"/>
          <w:sz w:val="28"/>
          <w:szCs w:val="28"/>
          <w:lang w:val="es-ES"/>
        </w:rPr>
        <w:t>de 201</w:t>
      </w:r>
      <w:r w:rsidR="009C527C">
        <w:rPr>
          <w:rFonts w:ascii="Calibri" w:hAnsi="Calibri"/>
          <w:sz w:val="28"/>
          <w:szCs w:val="28"/>
          <w:lang w:val="es-ES"/>
        </w:rPr>
        <w:t>4</w:t>
      </w:r>
      <w:r w:rsidRPr="005A4565">
        <w:rPr>
          <w:rFonts w:ascii="Calibri" w:hAnsi="Calibri"/>
          <w:sz w:val="28"/>
          <w:szCs w:val="28"/>
          <w:lang w:val="es-ES"/>
        </w:rPr>
        <w:t>.</w:t>
      </w:r>
    </w:p>
    <w:p w:rsidR="00D24E9F" w:rsidRDefault="00D24E9F" w:rsidP="003669F7">
      <w:pPr>
        <w:jc w:val="both"/>
        <w:rPr>
          <w:rFonts w:ascii="Calibri" w:hAnsi="Calibri"/>
          <w:sz w:val="28"/>
          <w:szCs w:val="28"/>
          <w:lang w:val="es-ES"/>
        </w:rPr>
      </w:pPr>
    </w:p>
    <w:p w:rsidR="005A4565" w:rsidRDefault="005A4565" w:rsidP="003669F7">
      <w:pPr>
        <w:jc w:val="both"/>
        <w:rPr>
          <w:rFonts w:ascii="Calibri" w:hAnsi="Calibri"/>
          <w:sz w:val="28"/>
          <w:szCs w:val="28"/>
          <w:lang w:val="es-ES"/>
        </w:rPr>
      </w:pPr>
    </w:p>
    <w:p w:rsidR="005A4565" w:rsidRPr="00631625" w:rsidRDefault="005A4565" w:rsidP="003669F7">
      <w:pPr>
        <w:jc w:val="both"/>
        <w:rPr>
          <w:rFonts w:asciiTheme="majorHAnsi" w:hAnsiTheme="majorHAnsi"/>
          <w:sz w:val="28"/>
          <w:szCs w:val="28"/>
          <w:lang w:val="es-ES"/>
        </w:rPr>
      </w:pPr>
      <w:bookmarkStart w:id="0" w:name="_GoBack"/>
      <w:bookmarkEnd w:id="0"/>
    </w:p>
    <w:p w:rsidR="005A4565" w:rsidRPr="00631625" w:rsidRDefault="005A4565" w:rsidP="003669F7">
      <w:pPr>
        <w:jc w:val="both"/>
        <w:rPr>
          <w:rFonts w:asciiTheme="majorHAnsi" w:hAnsiTheme="majorHAnsi"/>
          <w:sz w:val="28"/>
          <w:szCs w:val="28"/>
          <w:lang w:val="es-ES"/>
        </w:rPr>
      </w:pPr>
    </w:p>
    <w:p w:rsidR="005A4565" w:rsidRPr="00631625" w:rsidRDefault="005A4565" w:rsidP="003669F7">
      <w:pPr>
        <w:jc w:val="both"/>
        <w:rPr>
          <w:rFonts w:asciiTheme="majorHAnsi" w:hAnsiTheme="majorHAnsi"/>
          <w:sz w:val="28"/>
          <w:szCs w:val="28"/>
          <w:lang w:val="es-ES"/>
        </w:rPr>
      </w:pPr>
    </w:p>
    <w:p w:rsidR="005A4565" w:rsidRPr="00631625" w:rsidRDefault="005A4565" w:rsidP="003669F7">
      <w:pPr>
        <w:jc w:val="both"/>
        <w:rPr>
          <w:rFonts w:asciiTheme="majorHAnsi" w:hAnsiTheme="majorHAnsi"/>
          <w:sz w:val="28"/>
          <w:szCs w:val="28"/>
          <w:lang w:val="es-ES"/>
        </w:rPr>
      </w:pPr>
    </w:p>
    <w:p w:rsidR="00D24E9F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t>SEN. ARELY GÓMEZ GONZÁLEZ</w:t>
      </w:r>
    </w:p>
    <w:p w:rsidR="00D24E9F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t>PRESIDENTE</w:t>
      </w:r>
    </w:p>
    <w:p w:rsidR="00216D54" w:rsidRPr="00631625" w:rsidRDefault="00216D54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216D54" w:rsidRPr="00631625" w:rsidRDefault="00216D54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216D54" w:rsidRPr="00631625" w:rsidRDefault="00216D54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  <w:sectPr w:rsidR="005A4565" w:rsidRPr="00631625" w:rsidSect="00216D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091" w:right="1701" w:bottom="1417" w:left="1701" w:header="720" w:footer="720" w:gutter="0"/>
          <w:cols w:space="720"/>
          <w:noEndnote/>
        </w:sectPr>
      </w:pPr>
    </w:p>
    <w:p w:rsidR="00D24E9F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lastRenderedPageBreak/>
        <w:t>SEN. SALVADOR VEGA CASILLAS</w:t>
      </w:r>
    </w:p>
    <w:p w:rsidR="00D24E9F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t>SECRETARIO</w:t>
      </w:r>
    </w:p>
    <w:p w:rsidR="00D24E9F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lastRenderedPageBreak/>
        <w:t xml:space="preserve">SEN. </w:t>
      </w:r>
      <w:r w:rsidR="004D3D66">
        <w:rPr>
          <w:rFonts w:asciiTheme="majorHAnsi" w:hAnsiTheme="majorHAnsi" w:cs="Arial"/>
          <w:b/>
          <w:sz w:val="22"/>
          <w:szCs w:val="28"/>
        </w:rPr>
        <w:t>ZOÉ ROBLEDO ABURTO</w:t>
      </w:r>
    </w:p>
    <w:p w:rsidR="00216D54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t>SECRETARI</w:t>
      </w:r>
      <w:r w:rsidR="004D3D66">
        <w:rPr>
          <w:rFonts w:asciiTheme="majorHAnsi" w:hAnsiTheme="majorHAnsi" w:cs="Arial"/>
          <w:b/>
          <w:sz w:val="22"/>
          <w:szCs w:val="28"/>
        </w:rPr>
        <w:t>O</w:t>
      </w:r>
    </w:p>
    <w:p w:rsidR="00216D54" w:rsidRPr="00631625" w:rsidRDefault="00216D54" w:rsidP="00D24E9F">
      <w:pPr>
        <w:jc w:val="both"/>
        <w:rPr>
          <w:rFonts w:asciiTheme="majorHAnsi" w:hAnsiTheme="majorHAnsi" w:cs="Arial"/>
          <w:b/>
          <w:sz w:val="22"/>
          <w:szCs w:val="28"/>
        </w:rPr>
        <w:sectPr w:rsidR="00216D54" w:rsidRPr="00631625" w:rsidSect="00216D54">
          <w:type w:val="continuous"/>
          <w:pgSz w:w="12240" w:h="15840"/>
          <w:pgMar w:top="2091" w:right="1701" w:bottom="1417" w:left="1701" w:header="720" w:footer="720" w:gutter="0"/>
          <w:cols w:num="2" w:space="720"/>
          <w:noEndnote/>
        </w:sectPr>
      </w:pPr>
    </w:p>
    <w:p w:rsidR="00216D54" w:rsidRPr="00631625" w:rsidRDefault="00216D54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216D54" w:rsidRPr="00631625" w:rsidRDefault="00216D54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5A4565" w:rsidRPr="00631625" w:rsidRDefault="005A4565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216D54" w:rsidRPr="00631625" w:rsidRDefault="00216D54" w:rsidP="00D24E9F">
      <w:pPr>
        <w:jc w:val="both"/>
        <w:rPr>
          <w:rFonts w:asciiTheme="majorHAnsi" w:hAnsiTheme="majorHAnsi" w:cs="Arial"/>
          <w:b/>
          <w:sz w:val="22"/>
          <w:szCs w:val="28"/>
        </w:rPr>
      </w:pPr>
    </w:p>
    <w:p w:rsidR="00216D54" w:rsidRPr="00631625" w:rsidRDefault="00216D54" w:rsidP="00D24E9F">
      <w:pPr>
        <w:jc w:val="both"/>
        <w:rPr>
          <w:rFonts w:asciiTheme="majorHAnsi" w:hAnsiTheme="majorHAnsi" w:cs="Arial"/>
          <w:b/>
          <w:sz w:val="22"/>
          <w:szCs w:val="28"/>
        </w:rPr>
        <w:sectPr w:rsidR="00216D54" w:rsidRPr="00631625" w:rsidSect="00216D54">
          <w:type w:val="continuous"/>
          <w:pgSz w:w="12240" w:h="15840"/>
          <w:pgMar w:top="2091" w:right="1701" w:bottom="1417" w:left="1701" w:header="720" w:footer="720" w:gutter="0"/>
          <w:cols w:space="720"/>
          <w:noEndnote/>
        </w:sectPr>
      </w:pPr>
    </w:p>
    <w:p w:rsidR="00D24E9F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lastRenderedPageBreak/>
        <w:t>SEN. JUAN GERARDO FLORES RAMÍREZ</w:t>
      </w:r>
    </w:p>
    <w:p w:rsidR="00D24E9F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t>INTEGRANTE</w:t>
      </w:r>
    </w:p>
    <w:p w:rsidR="00D24E9F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lastRenderedPageBreak/>
        <w:t>MARTHA PALAFOX GUTIÉRREZ</w:t>
      </w:r>
    </w:p>
    <w:p w:rsidR="00D24E9F" w:rsidRPr="00631625" w:rsidRDefault="00D24E9F" w:rsidP="00216D54">
      <w:pPr>
        <w:jc w:val="center"/>
        <w:rPr>
          <w:rFonts w:asciiTheme="majorHAnsi" w:hAnsiTheme="majorHAnsi" w:cs="Arial"/>
          <w:b/>
          <w:sz w:val="22"/>
          <w:szCs w:val="28"/>
        </w:rPr>
      </w:pPr>
      <w:r w:rsidRPr="00631625">
        <w:rPr>
          <w:rFonts w:asciiTheme="majorHAnsi" w:hAnsiTheme="majorHAnsi" w:cs="Arial"/>
          <w:b/>
          <w:sz w:val="22"/>
          <w:szCs w:val="28"/>
        </w:rPr>
        <w:t>INTEGRANTE</w:t>
      </w:r>
    </w:p>
    <w:p w:rsidR="00216D54" w:rsidRPr="005A4565" w:rsidRDefault="00216D54" w:rsidP="003669F7">
      <w:pPr>
        <w:jc w:val="both"/>
        <w:rPr>
          <w:rFonts w:ascii="Arial" w:hAnsi="Arial" w:cs="Arial"/>
          <w:b/>
          <w:sz w:val="28"/>
          <w:szCs w:val="28"/>
          <w:lang w:val="es-MX"/>
        </w:rPr>
        <w:sectPr w:rsidR="00216D54" w:rsidRPr="005A4565" w:rsidSect="00216D54">
          <w:type w:val="continuous"/>
          <w:pgSz w:w="12240" w:h="15840"/>
          <w:pgMar w:top="2091" w:right="1701" w:bottom="1417" w:left="1701" w:header="720" w:footer="720" w:gutter="0"/>
          <w:cols w:num="2" w:space="720"/>
          <w:noEndnote/>
        </w:sectPr>
      </w:pPr>
    </w:p>
    <w:p w:rsidR="00216D54" w:rsidRPr="005A4565" w:rsidRDefault="00216D54" w:rsidP="003669F7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sectPr w:rsidR="00216D54" w:rsidRPr="005A4565" w:rsidSect="00216D54">
      <w:type w:val="continuous"/>
      <w:pgSz w:w="12240" w:h="15840"/>
      <w:pgMar w:top="2091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41" w:rsidRDefault="00233141" w:rsidP="00D24E9F">
      <w:r>
        <w:separator/>
      </w:r>
    </w:p>
  </w:endnote>
  <w:endnote w:type="continuationSeparator" w:id="0">
    <w:p w:rsidR="00233141" w:rsidRDefault="00233141" w:rsidP="00D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A5" w:rsidRDefault="00C13D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A5" w:rsidRDefault="00C13D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A5" w:rsidRDefault="00C13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41" w:rsidRDefault="00233141" w:rsidP="00D24E9F">
      <w:r>
        <w:separator/>
      </w:r>
    </w:p>
  </w:footnote>
  <w:footnote w:type="continuationSeparator" w:id="0">
    <w:p w:rsidR="00233141" w:rsidRDefault="00233141" w:rsidP="00D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65" w:rsidRDefault="00984DFC" w:rsidP="00D24E9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456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4565" w:rsidRDefault="005A4565" w:rsidP="00D24E9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69" w:rsidRDefault="00D9521A" w:rsidP="00B1296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-49530</wp:posOffset>
              </wp:positionV>
              <wp:extent cx="4977765" cy="7289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76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969" w:rsidRPr="00B12969" w:rsidRDefault="00B12969" w:rsidP="00B1296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mallCaps/>
                              <w:sz w:val="36"/>
                            </w:rPr>
                          </w:pPr>
                          <w:r w:rsidRPr="00B12969">
                            <w:rPr>
                              <w:rFonts w:asciiTheme="majorHAnsi" w:hAnsiTheme="majorHAnsi"/>
                              <w:b/>
                              <w:smallCaps/>
                              <w:sz w:val="36"/>
                            </w:rPr>
                            <w:t>Comité de Garantía de Acceso y Transparencia de la Información</w:t>
                          </w:r>
                        </w:p>
                        <w:p w:rsidR="00B12969" w:rsidRPr="009A7995" w:rsidRDefault="00B12969" w:rsidP="00B12969">
                          <w:pPr>
                            <w:jc w:val="center"/>
                            <w:rPr>
                              <w:b/>
                              <w:smallCaps/>
                              <w:sz w:val="36"/>
                            </w:rPr>
                          </w:pPr>
                        </w:p>
                        <w:p w:rsidR="00B12969" w:rsidRPr="006E3B16" w:rsidRDefault="00B12969" w:rsidP="00B12969">
                          <w:pPr>
                            <w:jc w:val="center"/>
                            <w:rPr>
                              <w:b/>
                              <w:smallCaps/>
                              <w:spacing w:val="60"/>
                              <w:sz w:val="40"/>
                            </w:rPr>
                          </w:pPr>
                          <w:r>
                            <w:rPr>
                              <w:b/>
                              <w:smallCaps/>
                              <w:spacing w:val="60"/>
                              <w:sz w:val="40"/>
                            </w:rPr>
                            <w:t xml:space="preserve"> -</w:t>
                          </w:r>
                          <w:r w:rsidRPr="006E3B16">
                            <w:rPr>
                              <w:b/>
                              <w:smallCaps/>
                              <w:spacing w:val="60"/>
                              <w:sz w:val="40"/>
                            </w:rPr>
                            <w:t>COGATI</w:t>
                          </w:r>
                          <w:r>
                            <w:rPr>
                              <w:b/>
                              <w:smallCaps/>
                              <w:spacing w:val="60"/>
                              <w:sz w:val="4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25pt;margin-top:-3.9pt;width:391.95pt;height:5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zMgwIAAA8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" stroked="f">
              <v:textbox>
                <w:txbxContent>
                  <w:p w:rsidR="00B12969" w:rsidRPr="00B12969" w:rsidRDefault="00B12969" w:rsidP="00B12969">
                    <w:pPr>
                      <w:jc w:val="center"/>
                      <w:rPr>
                        <w:rFonts w:asciiTheme="majorHAnsi" w:hAnsiTheme="majorHAnsi"/>
                        <w:b/>
                        <w:smallCaps/>
                        <w:sz w:val="36"/>
                      </w:rPr>
                    </w:pPr>
                    <w:r w:rsidRPr="00B12969">
                      <w:rPr>
                        <w:rFonts w:asciiTheme="majorHAnsi" w:hAnsiTheme="majorHAnsi"/>
                        <w:b/>
                        <w:smallCaps/>
                        <w:sz w:val="36"/>
                      </w:rPr>
                      <w:t>Comité de Garantía de Acceso y Transparencia de la Información</w:t>
                    </w:r>
                  </w:p>
                  <w:p w:rsidR="00B12969" w:rsidRPr="009A7995" w:rsidRDefault="00B12969" w:rsidP="00B12969">
                    <w:pPr>
                      <w:jc w:val="center"/>
                      <w:rPr>
                        <w:b/>
                        <w:smallCaps/>
                        <w:sz w:val="36"/>
                      </w:rPr>
                    </w:pPr>
                  </w:p>
                  <w:p w:rsidR="00B12969" w:rsidRPr="006E3B16" w:rsidRDefault="00B12969" w:rsidP="00B12969">
                    <w:pPr>
                      <w:jc w:val="center"/>
                      <w:rPr>
                        <w:b/>
                        <w:smallCaps/>
                        <w:spacing w:val="60"/>
                        <w:sz w:val="40"/>
                      </w:rPr>
                    </w:pPr>
                    <w:r>
                      <w:rPr>
                        <w:b/>
                        <w:smallCaps/>
                        <w:spacing w:val="60"/>
                        <w:sz w:val="40"/>
                      </w:rPr>
                      <w:t xml:space="preserve"> -</w:t>
                    </w:r>
                    <w:r w:rsidRPr="006E3B16">
                      <w:rPr>
                        <w:b/>
                        <w:smallCaps/>
                        <w:spacing w:val="60"/>
                        <w:sz w:val="40"/>
                      </w:rPr>
                      <w:t>COGATI</w:t>
                    </w:r>
                    <w:r>
                      <w:rPr>
                        <w:b/>
                        <w:smallCaps/>
                        <w:spacing w:val="60"/>
                        <w:sz w:val="4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B12969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-306705</wp:posOffset>
          </wp:positionV>
          <wp:extent cx="990600" cy="993775"/>
          <wp:effectExtent l="0" t="0" r="0" b="0"/>
          <wp:wrapNone/>
          <wp:docPr id="1" name="Imagen 1" descr="logoLXII_550x550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LXII_550x550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2969" w:rsidRDefault="00B12969" w:rsidP="00B12969">
    <w:pPr>
      <w:jc w:val="right"/>
      <w:rPr>
        <w:rFonts w:ascii="Arial" w:hAnsi="Arial" w:cs="Arial"/>
        <w:b/>
        <w:sz w:val="26"/>
        <w:szCs w:val="26"/>
      </w:rPr>
    </w:pPr>
  </w:p>
  <w:p w:rsidR="00B12969" w:rsidRDefault="00B12969" w:rsidP="00B12969">
    <w:pPr>
      <w:pStyle w:val="Encabezado"/>
    </w:pPr>
  </w:p>
  <w:p w:rsidR="00B12969" w:rsidRDefault="00B12969" w:rsidP="00B12969">
    <w:pPr>
      <w:pStyle w:val="Encabezado"/>
    </w:pPr>
  </w:p>
  <w:p w:rsidR="00DB1B70" w:rsidRDefault="00DB1B70" w:rsidP="00B12969">
    <w:pPr>
      <w:pStyle w:val="Encabezado"/>
    </w:pPr>
  </w:p>
  <w:p w:rsidR="005A4565" w:rsidRPr="0056297B" w:rsidRDefault="005A4565" w:rsidP="00D24E9F">
    <w:pPr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A5" w:rsidRDefault="00C13D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4F9"/>
    <w:multiLevelType w:val="hybridMultilevel"/>
    <w:tmpl w:val="F9746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A1F2F"/>
    <w:multiLevelType w:val="hybridMultilevel"/>
    <w:tmpl w:val="F6E2CEE8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EC019F"/>
    <w:multiLevelType w:val="hybridMultilevel"/>
    <w:tmpl w:val="05A271D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 M">
    <w15:presenceInfo w15:providerId="Windows Live" w15:userId="1d7a0ec4b38db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7D"/>
    <w:rsid w:val="0000709A"/>
    <w:rsid w:val="000175BD"/>
    <w:rsid w:val="000206D2"/>
    <w:rsid w:val="000F12B9"/>
    <w:rsid w:val="001130FF"/>
    <w:rsid w:val="001213EC"/>
    <w:rsid w:val="001803BC"/>
    <w:rsid w:val="001C5836"/>
    <w:rsid w:val="001D5F2A"/>
    <w:rsid w:val="001F044F"/>
    <w:rsid w:val="00216D54"/>
    <w:rsid w:val="00221124"/>
    <w:rsid w:val="00233141"/>
    <w:rsid w:val="00276015"/>
    <w:rsid w:val="002D62E1"/>
    <w:rsid w:val="003669F7"/>
    <w:rsid w:val="00371DE4"/>
    <w:rsid w:val="003D144C"/>
    <w:rsid w:val="003E2950"/>
    <w:rsid w:val="00425F71"/>
    <w:rsid w:val="00444F2A"/>
    <w:rsid w:val="00464CF2"/>
    <w:rsid w:val="00483A48"/>
    <w:rsid w:val="004952EE"/>
    <w:rsid w:val="004B30DE"/>
    <w:rsid w:val="004D3D66"/>
    <w:rsid w:val="004E2F45"/>
    <w:rsid w:val="00551ED7"/>
    <w:rsid w:val="00581300"/>
    <w:rsid w:val="005A4565"/>
    <w:rsid w:val="006231E7"/>
    <w:rsid w:val="00631625"/>
    <w:rsid w:val="006925EE"/>
    <w:rsid w:val="006B06EC"/>
    <w:rsid w:val="00712700"/>
    <w:rsid w:val="0072105A"/>
    <w:rsid w:val="00746159"/>
    <w:rsid w:val="007F61CC"/>
    <w:rsid w:val="008454D3"/>
    <w:rsid w:val="00892A86"/>
    <w:rsid w:val="008B7C10"/>
    <w:rsid w:val="008E29B5"/>
    <w:rsid w:val="009729F8"/>
    <w:rsid w:val="00984DFC"/>
    <w:rsid w:val="009B3909"/>
    <w:rsid w:val="009C527C"/>
    <w:rsid w:val="00AE1792"/>
    <w:rsid w:val="00B023DC"/>
    <w:rsid w:val="00B12969"/>
    <w:rsid w:val="00B66EFF"/>
    <w:rsid w:val="00B767FA"/>
    <w:rsid w:val="00BC327D"/>
    <w:rsid w:val="00C13DA5"/>
    <w:rsid w:val="00C64C18"/>
    <w:rsid w:val="00C70A2A"/>
    <w:rsid w:val="00C7484F"/>
    <w:rsid w:val="00CE55CA"/>
    <w:rsid w:val="00D24E9F"/>
    <w:rsid w:val="00D905D3"/>
    <w:rsid w:val="00D9521A"/>
    <w:rsid w:val="00DB1B70"/>
    <w:rsid w:val="00E66F6B"/>
    <w:rsid w:val="00ED3025"/>
    <w:rsid w:val="00F16001"/>
    <w:rsid w:val="00F420C3"/>
    <w:rsid w:val="00FB4293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C1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24E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E9F"/>
  </w:style>
  <w:style w:type="paragraph" w:styleId="Piedepgina">
    <w:name w:val="footer"/>
    <w:basedOn w:val="Normal"/>
    <w:link w:val="PiedepginaCar"/>
    <w:uiPriority w:val="99"/>
    <w:unhideWhenUsed/>
    <w:rsid w:val="00D24E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9F"/>
  </w:style>
  <w:style w:type="character" w:styleId="Nmerodepgina">
    <w:name w:val="page number"/>
    <w:basedOn w:val="Fuentedeprrafopredeter"/>
    <w:rsid w:val="00D24E9F"/>
  </w:style>
  <w:style w:type="paragraph" w:styleId="Textodeglobo">
    <w:name w:val="Balloon Text"/>
    <w:basedOn w:val="Normal"/>
    <w:link w:val="TextodegloboCar"/>
    <w:uiPriority w:val="99"/>
    <w:semiHidden/>
    <w:unhideWhenUsed/>
    <w:rsid w:val="00C748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C1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24E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E9F"/>
  </w:style>
  <w:style w:type="paragraph" w:styleId="Piedepgina">
    <w:name w:val="footer"/>
    <w:basedOn w:val="Normal"/>
    <w:link w:val="PiedepginaCar"/>
    <w:uiPriority w:val="99"/>
    <w:unhideWhenUsed/>
    <w:rsid w:val="00D24E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9F"/>
  </w:style>
  <w:style w:type="character" w:styleId="Nmerodepgina">
    <w:name w:val="page number"/>
    <w:basedOn w:val="Fuentedeprrafopredeter"/>
    <w:rsid w:val="00D24E9F"/>
  </w:style>
  <w:style w:type="paragraph" w:styleId="Textodeglobo">
    <w:name w:val="Balloon Text"/>
    <w:basedOn w:val="Normal"/>
    <w:link w:val="TextodegloboCar"/>
    <w:uiPriority w:val="99"/>
    <w:semiHidden/>
    <w:unhideWhenUsed/>
    <w:rsid w:val="00C748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1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2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0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0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58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23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12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9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1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8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71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5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1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09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38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80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8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47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51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4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94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47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C9C8C-3F9B-4491-AD6A-CE5D7BC6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Preisser</dc:creator>
  <cp:lastModifiedBy>Dante Preisser</cp:lastModifiedBy>
  <cp:revision>4</cp:revision>
  <cp:lastPrinted>2014-12-09T20:39:00Z</cp:lastPrinted>
  <dcterms:created xsi:type="dcterms:W3CDTF">2014-12-09T18:48:00Z</dcterms:created>
  <dcterms:modified xsi:type="dcterms:W3CDTF">2014-12-09T20:39:00Z</dcterms:modified>
</cp:coreProperties>
</file>