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33" w:rsidRPr="00A77629" w:rsidRDefault="00A41D33" w:rsidP="002C3C22">
      <w:pPr>
        <w:spacing w:after="0" w:line="360" w:lineRule="auto"/>
        <w:jc w:val="both"/>
        <w:rPr>
          <w:rFonts w:ascii="Arial" w:hAnsi="Arial" w:cs="Arial"/>
          <w:b/>
          <w:sz w:val="24"/>
          <w:szCs w:val="24"/>
        </w:rPr>
      </w:pPr>
      <w:r w:rsidRPr="00A77629">
        <w:rPr>
          <w:rFonts w:ascii="Arial" w:hAnsi="Arial" w:cs="Arial"/>
          <w:b/>
          <w:sz w:val="24"/>
          <w:szCs w:val="24"/>
        </w:rPr>
        <w:t xml:space="preserve">ACUERDO DEL COMITÉ DE GARANTÍA DE ACCESO Y TRANSPARENCIA DE LA INFORMACIÓN POR EL QUE SE SOLICITA A LA MESA DIRECTIVA </w:t>
      </w:r>
      <w:r w:rsidR="0045110E" w:rsidRPr="00A77629">
        <w:rPr>
          <w:rFonts w:ascii="Arial" w:hAnsi="Arial" w:cs="Arial"/>
          <w:b/>
          <w:sz w:val="24"/>
          <w:szCs w:val="24"/>
        </w:rPr>
        <w:t>APRUEBE QUE EL COGATI ENCABECE EL DESARROLLO DE</w:t>
      </w:r>
      <w:r w:rsidRPr="00A77629">
        <w:rPr>
          <w:rFonts w:ascii="Arial" w:hAnsi="Arial" w:cs="Arial"/>
          <w:b/>
          <w:sz w:val="24"/>
          <w:szCs w:val="24"/>
        </w:rPr>
        <w:t xml:space="preserve"> UN SISTEMA</w:t>
      </w:r>
      <w:r w:rsidR="0045110E" w:rsidRPr="00A77629">
        <w:rPr>
          <w:rFonts w:ascii="Arial" w:hAnsi="Arial" w:cs="Arial"/>
          <w:b/>
          <w:sz w:val="24"/>
          <w:szCs w:val="24"/>
        </w:rPr>
        <w:t xml:space="preserve"> INFORMATICO</w:t>
      </w:r>
      <w:r w:rsidRPr="00A77629">
        <w:rPr>
          <w:rFonts w:ascii="Arial" w:hAnsi="Arial" w:cs="Arial"/>
          <w:b/>
          <w:sz w:val="24"/>
          <w:szCs w:val="24"/>
        </w:rPr>
        <w:t xml:space="preserve"> DE</w:t>
      </w:r>
      <w:r w:rsidR="0045110E" w:rsidRPr="00A77629">
        <w:rPr>
          <w:rFonts w:ascii="Arial" w:hAnsi="Arial" w:cs="Arial"/>
          <w:b/>
          <w:sz w:val="24"/>
          <w:szCs w:val="24"/>
        </w:rPr>
        <w:t>NOMINADO</w:t>
      </w:r>
      <w:r w:rsidRPr="00A77629">
        <w:rPr>
          <w:rFonts w:ascii="Arial" w:hAnsi="Arial" w:cs="Arial"/>
          <w:b/>
          <w:sz w:val="24"/>
          <w:szCs w:val="24"/>
        </w:rPr>
        <w:t xml:space="preserve"> INICI</w:t>
      </w:r>
      <w:r w:rsidR="0045110E" w:rsidRPr="00A77629">
        <w:rPr>
          <w:rFonts w:ascii="Arial" w:hAnsi="Arial" w:cs="Arial"/>
          <w:b/>
          <w:sz w:val="24"/>
          <w:szCs w:val="24"/>
        </w:rPr>
        <w:t xml:space="preserve">ATIVA ABIERTA A LA CIUDADANIA CON LA SECRETARÍAS DE SERVICIOS PARLAMENTARIOS Y SERVICIOS ADMINISTRATIVOS EN COLABORACIÓN CON ORGANIZACIONES DE LA SOCIEDAD CIVIL. </w:t>
      </w:r>
    </w:p>
    <w:p w:rsidR="00475C9D" w:rsidRPr="00A77629" w:rsidRDefault="00475C9D" w:rsidP="002C3C22">
      <w:pPr>
        <w:spacing w:after="0" w:line="360" w:lineRule="auto"/>
        <w:jc w:val="both"/>
        <w:rPr>
          <w:rFonts w:ascii="Arial" w:hAnsi="Arial" w:cs="Arial"/>
          <w:sz w:val="24"/>
          <w:szCs w:val="24"/>
        </w:rPr>
      </w:pPr>
    </w:p>
    <w:p w:rsidR="00475C9D" w:rsidRPr="00A77629" w:rsidRDefault="00475C9D" w:rsidP="002C3C22">
      <w:pPr>
        <w:spacing w:after="0" w:line="360" w:lineRule="auto"/>
        <w:jc w:val="both"/>
        <w:rPr>
          <w:rFonts w:ascii="Arial" w:eastAsia="Times New Roman" w:hAnsi="Arial" w:cs="Arial"/>
          <w:sz w:val="24"/>
          <w:szCs w:val="24"/>
          <w:lang w:val="es-ES_tradnl" w:eastAsia="es-ES"/>
        </w:rPr>
      </w:pPr>
      <w:r w:rsidRPr="00A77629">
        <w:rPr>
          <w:rFonts w:ascii="Arial" w:eastAsia="Times New Roman" w:hAnsi="Arial" w:cs="Arial"/>
          <w:sz w:val="24"/>
          <w:szCs w:val="24"/>
          <w:lang w:val="es-ES_tradnl" w:eastAsia="es-ES"/>
        </w:rPr>
        <w:t xml:space="preserve">Con fundamento en lo dispuesto por el artículo 295 del Reglamento del Senado de la República y el </w:t>
      </w:r>
      <w:r w:rsidRPr="00A77629">
        <w:rPr>
          <w:rFonts w:ascii="Arial" w:eastAsia="Times New Roman" w:hAnsi="Arial" w:cs="Arial"/>
          <w:sz w:val="24"/>
          <w:szCs w:val="24"/>
          <w:lang w:val="es-MX" w:eastAsia="es-ES"/>
        </w:rPr>
        <w:t xml:space="preserve">Acuerdo Parlamentario para la Aplicación de la Ley Federal de Transparencia y Acceso a la Información Pública Gubernamental en la Cámara de Senadores, </w:t>
      </w:r>
      <w:r w:rsidRPr="00A77629">
        <w:rPr>
          <w:rFonts w:ascii="Arial" w:eastAsia="Times New Roman" w:hAnsi="Arial" w:cs="Arial"/>
          <w:sz w:val="24"/>
          <w:szCs w:val="24"/>
          <w:lang w:val="es-ES_tradnl" w:eastAsia="es-ES"/>
        </w:rPr>
        <w:t>y</w:t>
      </w:r>
    </w:p>
    <w:p w:rsidR="00475C9D" w:rsidRPr="00A77629" w:rsidRDefault="00475C9D" w:rsidP="002C3C22">
      <w:pPr>
        <w:spacing w:after="0" w:line="360" w:lineRule="auto"/>
        <w:jc w:val="both"/>
        <w:rPr>
          <w:rFonts w:ascii="Arial" w:eastAsia="Times New Roman" w:hAnsi="Arial" w:cs="Arial"/>
          <w:sz w:val="24"/>
          <w:szCs w:val="24"/>
          <w:lang w:val="es-ES_tradnl" w:eastAsia="es-ES"/>
        </w:rPr>
      </w:pPr>
    </w:p>
    <w:p w:rsidR="00A41D33" w:rsidRPr="00A77629" w:rsidRDefault="00A41D33" w:rsidP="002C3C22">
      <w:pPr>
        <w:spacing w:after="0" w:line="360" w:lineRule="auto"/>
        <w:jc w:val="center"/>
        <w:rPr>
          <w:rFonts w:ascii="Arial" w:eastAsia="Times New Roman" w:hAnsi="Arial" w:cs="Arial"/>
          <w:b/>
          <w:sz w:val="24"/>
          <w:szCs w:val="24"/>
          <w:lang w:val="es-ES_tradnl" w:eastAsia="es-ES"/>
        </w:rPr>
      </w:pPr>
      <w:r w:rsidRPr="00A77629">
        <w:rPr>
          <w:rFonts w:ascii="Arial" w:eastAsia="Times New Roman" w:hAnsi="Arial" w:cs="Arial"/>
          <w:b/>
          <w:sz w:val="24"/>
          <w:szCs w:val="24"/>
          <w:lang w:val="es-ES_tradnl" w:eastAsia="es-ES"/>
        </w:rPr>
        <w:t>CONSIDERANDO</w:t>
      </w:r>
    </w:p>
    <w:p w:rsidR="00662DC7" w:rsidRPr="00A77629" w:rsidRDefault="00662DC7" w:rsidP="002C3C22">
      <w:pPr>
        <w:spacing w:after="0" w:line="360" w:lineRule="auto"/>
        <w:jc w:val="center"/>
        <w:rPr>
          <w:rFonts w:ascii="Arial" w:eastAsia="Times New Roman" w:hAnsi="Arial" w:cs="Arial"/>
          <w:sz w:val="24"/>
          <w:szCs w:val="24"/>
          <w:lang w:val="es-ES_tradnl" w:eastAsia="es-ES"/>
        </w:rPr>
      </w:pPr>
    </w:p>
    <w:p w:rsidR="0045110E" w:rsidRPr="00A77629" w:rsidRDefault="0045110E" w:rsidP="002C3C22">
      <w:pPr>
        <w:spacing w:line="360" w:lineRule="auto"/>
        <w:jc w:val="both"/>
        <w:rPr>
          <w:rFonts w:ascii="Arial" w:hAnsi="Arial" w:cs="Arial"/>
          <w:sz w:val="24"/>
          <w:szCs w:val="24"/>
        </w:rPr>
      </w:pPr>
      <w:r w:rsidRPr="00A77629">
        <w:rPr>
          <w:rFonts w:ascii="Arial" w:hAnsi="Arial" w:cs="Arial"/>
          <w:sz w:val="24"/>
          <w:szCs w:val="24"/>
        </w:rPr>
        <w:t xml:space="preserve">Que de conformidad con el </w:t>
      </w:r>
      <w:r w:rsidRPr="00A77629">
        <w:rPr>
          <w:rFonts w:ascii="Arial" w:hAnsi="Arial" w:cs="Arial"/>
          <w:sz w:val="24"/>
          <w:szCs w:val="24"/>
          <w:lang w:val="es-MX"/>
        </w:rPr>
        <w:t xml:space="preserve">Acuerdo Parlamentario para la Aplicación de la Ley Federal de Transparencia y Acceso a la Información Pública Gubernamental en la Cámara de Senadores, el COGATI </w:t>
      </w:r>
      <w:r w:rsidRPr="00A77629">
        <w:rPr>
          <w:rFonts w:ascii="Arial" w:hAnsi="Arial" w:cs="Arial"/>
          <w:sz w:val="24"/>
          <w:szCs w:val="24"/>
        </w:rPr>
        <w:t>es el órgano garante, especializado e imparcial, responsable de coordinar y supervisar el adecuado cumplimiento de la Ley Federal de Transparencia y Acceso a la Información Pública Gubernamental por parte de los Órganos y Unidades Administrativas, Parlamentarias y Técnicas del Senado.</w:t>
      </w:r>
    </w:p>
    <w:p w:rsidR="0045110E" w:rsidRPr="00A77629" w:rsidRDefault="0045110E" w:rsidP="002C3C22">
      <w:pPr>
        <w:spacing w:line="360" w:lineRule="auto"/>
        <w:jc w:val="both"/>
        <w:rPr>
          <w:rFonts w:ascii="Arial" w:hAnsi="Arial" w:cs="Arial"/>
          <w:sz w:val="24"/>
          <w:szCs w:val="24"/>
        </w:rPr>
      </w:pPr>
      <w:r w:rsidRPr="00A77629">
        <w:rPr>
          <w:rFonts w:ascii="Arial" w:hAnsi="Arial" w:cs="Arial"/>
          <w:sz w:val="24"/>
          <w:szCs w:val="24"/>
        </w:rPr>
        <w:t xml:space="preserve">Que de conformidad con el Acuerdo antes citado, en sus artículos 2, 4, fracción VII y 17, fracción VI; el COGATI tiene la atribución de hacer recomendaciones a las Entidades de la Cámara para que se garantice a toda persona el acceso a la información pública, en posesión del Senado, mediante procedimientos sencillos y expeditos, así como de poner a disposición del público, a través de medios remotos o locales de comunicación electrónica dicha información. </w:t>
      </w:r>
    </w:p>
    <w:p w:rsidR="0045110E" w:rsidRPr="00A77629" w:rsidRDefault="0045110E" w:rsidP="002C3C22">
      <w:pPr>
        <w:spacing w:line="360" w:lineRule="auto"/>
        <w:jc w:val="both"/>
        <w:rPr>
          <w:rFonts w:ascii="Arial" w:hAnsi="Arial" w:cs="Arial"/>
          <w:sz w:val="24"/>
          <w:szCs w:val="24"/>
        </w:rPr>
      </w:pPr>
      <w:r w:rsidRPr="00A77629">
        <w:rPr>
          <w:rFonts w:ascii="Arial" w:hAnsi="Arial" w:cs="Arial"/>
          <w:sz w:val="24"/>
          <w:szCs w:val="24"/>
        </w:rPr>
        <w:lastRenderedPageBreak/>
        <w:t xml:space="preserve">Que el COGATI ha encabezado en el Senado de la República los esfuerzos de las políticas en materia de apertura parlamentaria que tiene como uno de sus pilares fundamentales la participación ciudadana en el proceso legislativo. </w:t>
      </w:r>
    </w:p>
    <w:p w:rsidR="00662DC7" w:rsidRPr="00A77629" w:rsidRDefault="00662DC7" w:rsidP="002C3C22">
      <w:pPr>
        <w:spacing w:line="360" w:lineRule="auto"/>
        <w:jc w:val="both"/>
        <w:rPr>
          <w:rFonts w:ascii="Arial" w:hAnsi="Arial" w:cs="Arial"/>
          <w:sz w:val="24"/>
          <w:szCs w:val="24"/>
        </w:rPr>
      </w:pPr>
      <w:r w:rsidRPr="00A77629">
        <w:rPr>
          <w:rFonts w:ascii="Arial" w:hAnsi="Arial" w:cs="Arial"/>
          <w:sz w:val="24"/>
          <w:szCs w:val="24"/>
        </w:rPr>
        <w:t>Que México</w:t>
      </w:r>
      <w:r w:rsidR="00A77629" w:rsidRPr="00A77629">
        <w:rPr>
          <w:rFonts w:ascii="Arial" w:hAnsi="Arial" w:cs="Arial"/>
          <w:sz w:val="24"/>
          <w:szCs w:val="24"/>
        </w:rPr>
        <w:t xml:space="preserve"> a través del Senado de la República forma parte del Grupo de Trabajo de Apertura legislativa </w:t>
      </w:r>
      <w:r w:rsidRPr="00A77629">
        <w:rPr>
          <w:rFonts w:ascii="Arial" w:hAnsi="Arial" w:cs="Arial"/>
          <w:sz w:val="24"/>
          <w:szCs w:val="24"/>
        </w:rPr>
        <w:t xml:space="preserve">de la Alianza para el </w:t>
      </w:r>
      <w:r w:rsidR="00A77629" w:rsidRPr="00A77629">
        <w:rPr>
          <w:rFonts w:ascii="Arial" w:hAnsi="Arial" w:cs="Arial"/>
          <w:sz w:val="24"/>
          <w:szCs w:val="24"/>
        </w:rPr>
        <w:t>Gobierno Abierto que tiene</w:t>
      </w:r>
      <w:r w:rsidRPr="00A77629">
        <w:rPr>
          <w:rFonts w:ascii="Arial" w:hAnsi="Arial" w:cs="Arial"/>
          <w:sz w:val="24"/>
          <w:szCs w:val="24"/>
        </w:rPr>
        <w:t xml:space="preserve"> el objetivo de consolidar los esfuerzos realizados en materia de </w:t>
      </w:r>
      <w:r w:rsidRPr="00A77629">
        <w:rPr>
          <w:rFonts w:ascii="Arial" w:hAnsi="Arial" w:cs="Arial"/>
          <w:bCs/>
          <w:sz w:val="24"/>
          <w:szCs w:val="24"/>
        </w:rPr>
        <w:t xml:space="preserve">transparencia, acceso a información y </w:t>
      </w:r>
      <w:r w:rsidR="00A77629" w:rsidRPr="00A77629">
        <w:rPr>
          <w:rFonts w:ascii="Arial" w:hAnsi="Arial" w:cs="Arial"/>
          <w:bCs/>
          <w:sz w:val="24"/>
          <w:szCs w:val="24"/>
        </w:rPr>
        <w:t>participación ciudadana</w:t>
      </w:r>
      <w:r w:rsidR="0045110E" w:rsidRPr="00A77629">
        <w:rPr>
          <w:rFonts w:ascii="Arial" w:hAnsi="Arial" w:cs="Arial"/>
          <w:sz w:val="24"/>
          <w:szCs w:val="24"/>
        </w:rPr>
        <w:t xml:space="preserve"> por medio de la suscripción de </w:t>
      </w:r>
      <w:r w:rsidRPr="00A77629">
        <w:rPr>
          <w:rFonts w:ascii="Arial" w:hAnsi="Arial" w:cs="Arial"/>
          <w:bCs/>
          <w:sz w:val="24"/>
          <w:szCs w:val="24"/>
        </w:rPr>
        <w:t>iniciativas e instrumentos internacionales</w:t>
      </w:r>
      <w:r w:rsidRPr="00A77629">
        <w:rPr>
          <w:rFonts w:ascii="Arial" w:hAnsi="Arial" w:cs="Arial"/>
          <w:sz w:val="24"/>
          <w:szCs w:val="24"/>
        </w:rPr>
        <w:t xml:space="preserve"> tales como la "Declaración sobre la Transparencia Parlamentaria". </w:t>
      </w:r>
    </w:p>
    <w:p w:rsidR="00662DC7" w:rsidRPr="00A77629" w:rsidRDefault="00A77629" w:rsidP="002C3C22">
      <w:pPr>
        <w:spacing w:line="360" w:lineRule="auto"/>
        <w:jc w:val="both"/>
        <w:rPr>
          <w:rFonts w:ascii="Arial" w:hAnsi="Arial" w:cs="Arial"/>
          <w:sz w:val="24"/>
          <w:szCs w:val="24"/>
        </w:rPr>
      </w:pPr>
      <w:r w:rsidRPr="00A77629">
        <w:rPr>
          <w:rFonts w:ascii="Arial" w:hAnsi="Arial" w:cs="Arial"/>
          <w:sz w:val="24"/>
          <w:szCs w:val="24"/>
        </w:rPr>
        <w:t>Que en la Declaración para la Transparencia Parlamentaria, instrumento guía de los trabajos de este Comité, se señala en su punto 18</w:t>
      </w:r>
      <w:r w:rsidR="006325D1">
        <w:rPr>
          <w:rFonts w:ascii="Arial" w:hAnsi="Arial" w:cs="Arial"/>
          <w:sz w:val="24"/>
          <w:szCs w:val="24"/>
        </w:rPr>
        <w:t xml:space="preserve"> como principio de apertura par</w:t>
      </w:r>
      <w:r w:rsidRPr="00A77629">
        <w:rPr>
          <w:rFonts w:ascii="Arial" w:hAnsi="Arial" w:cs="Arial"/>
          <w:sz w:val="24"/>
          <w:szCs w:val="24"/>
        </w:rPr>
        <w:t>lamentaria el de:</w:t>
      </w:r>
    </w:p>
    <w:p w:rsidR="00A77629" w:rsidRPr="00A77629" w:rsidRDefault="00A77629" w:rsidP="002C3C22">
      <w:pPr>
        <w:spacing w:line="360" w:lineRule="auto"/>
        <w:ind w:left="708"/>
        <w:jc w:val="both"/>
        <w:rPr>
          <w:rFonts w:ascii="Arial" w:hAnsi="Arial" w:cs="Arial"/>
          <w:i/>
          <w:sz w:val="24"/>
          <w:szCs w:val="24"/>
        </w:rPr>
      </w:pPr>
      <w:r w:rsidRPr="00A77629">
        <w:rPr>
          <w:rFonts w:ascii="Arial" w:hAnsi="Arial" w:cs="Arial"/>
          <w:i/>
          <w:sz w:val="24"/>
          <w:szCs w:val="24"/>
        </w:rPr>
        <w:t>“18.</w:t>
      </w:r>
      <w:r w:rsidRPr="00A77629">
        <w:rPr>
          <w:rFonts w:ascii="Arial" w:hAnsi="Arial" w:cs="Arial"/>
          <w:i/>
          <w:sz w:val="24"/>
          <w:szCs w:val="24"/>
        </w:rPr>
        <w:tab/>
        <w:t xml:space="preserve">Informar e involucrar a los ciudadanos en un proyecto de ley </w:t>
      </w:r>
    </w:p>
    <w:p w:rsidR="00A77629" w:rsidRPr="00A77629" w:rsidRDefault="00A77629" w:rsidP="002C3C22">
      <w:pPr>
        <w:spacing w:line="360" w:lineRule="auto"/>
        <w:ind w:left="708"/>
        <w:jc w:val="both"/>
        <w:rPr>
          <w:rFonts w:ascii="Arial" w:hAnsi="Arial" w:cs="Arial"/>
          <w:i/>
          <w:sz w:val="24"/>
          <w:szCs w:val="24"/>
        </w:rPr>
      </w:pPr>
      <w:r w:rsidRPr="00A77629">
        <w:rPr>
          <w:rFonts w:ascii="Arial" w:hAnsi="Arial" w:cs="Arial"/>
          <w:i/>
          <w:sz w:val="24"/>
          <w:szCs w:val="24"/>
        </w:rPr>
        <w:t>Un proyecto de ley se hará público y se publicará a partir de su introducción. Reconociendo la necesidad de los ciudadanos a estar plenamente informados para realizar aportes a los temas examinados, el Parlamento debe proveer al público análisis e información para fomentar la amplia comprensión de los debates políticos.”</w:t>
      </w:r>
    </w:p>
    <w:p w:rsidR="00A77629" w:rsidRPr="00A77629" w:rsidRDefault="00A77629" w:rsidP="002C3C22">
      <w:pPr>
        <w:spacing w:line="360" w:lineRule="auto"/>
        <w:jc w:val="both"/>
        <w:rPr>
          <w:rFonts w:ascii="Arial" w:hAnsi="Arial" w:cs="Arial"/>
          <w:sz w:val="24"/>
          <w:szCs w:val="24"/>
        </w:rPr>
      </w:pPr>
      <w:r w:rsidRPr="00A77629">
        <w:rPr>
          <w:rFonts w:ascii="Arial" w:hAnsi="Arial" w:cs="Arial"/>
          <w:sz w:val="24"/>
          <w:szCs w:val="24"/>
        </w:rPr>
        <w:t xml:space="preserve">Que la apertura parlamentaria permite a los ciudadanos estar informados acerca de la labor del Parlamento, los faculta a participar en el proceso legislativo, les permite exigir  una rendición de cuentas a los parlamentarios y se asegura de que los intereses de los ciudadanos estén representados. </w:t>
      </w:r>
    </w:p>
    <w:p w:rsidR="00A77629" w:rsidRPr="00A77629" w:rsidRDefault="00662DC7" w:rsidP="002C3C22">
      <w:pPr>
        <w:spacing w:line="360" w:lineRule="auto"/>
        <w:jc w:val="both"/>
        <w:rPr>
          <w:rFonts w:ascii="Arial" w:hAnsi="Arial" w:cs="Arial"/>
          <w:sz w:val="24"/>
          <w:szCs w:val="24"/>
        </w:rPr>
      </w:pPr>
      <w:r w:rsidRPr="00A77629">
        <w:rPr>
          <w:rFonts w:ascii="Arial" w:hAnsi="Arial" w:cs="Arial"/>
          <w:sz w:val="24"/>
          <w:szCs w:val="24"/>
        </w:rPr>
        <w:t xml:space="preserve">Que por lo antes señalado </w:t>
      </w:r>
      <w:r w:rsidR="00A77629" w:rsidRPr="00A77629">
        <w:rPr>
          <w:rFonts w:ascii="Arial" w:hAnsi="Arial" w:cs="Arial"/>
          <w:sz w:val="24"/>
          <w:szCs w:val="24"/>
        </w:rPr>
        <w:t>este Comité considera adecuado encabezar los esfuerzos para la elaboración de un sistema informático que, de acuerdo a prácticas internacionales y nacionales en la materia,</w:t>
      </w:r>
      <w:r w:rsidR="00A77629">
        <w:rPr>
          <w:rFonts w:ascii="Arial" w:hAnsi="Arial" w:cs="Arial"/>
          <w:sz w:val="24"/>
          <w:szCs w:val="24"/>
        </w:rPr>
        <w:t xml:space="preserve"> y en colaboración con organizaciones de la sociedad civil especializadas en monitoreo parlamentario;</w:t>
      </w:r>
      <w:r w:rsidR="00A77629" w:rsidRPr="00A77629">
        <w:rPr>
          <w:rFonts w:ascii="Arial" w:hAnsi="Arial" w:cs="Arial"/>
          <w:sz w:val="24"/>
          <w:szCs w:val="24"/>
        </w:rPr>
        <w:t xml:space="preserve"> </w:t>
      </w:r>
      <w:r w:rsidR="00A77629" w:rsidRPr="00A77629">
        <w:rPr>
          <w:rFonts w:ascii="Arial" w:hAnsi="Arial" w:cs="Arial"/>
          <w:sz w:val="24"/>
          <w:szCs w:val="24"/>
        </w:rPr>
        <w:lastRenderedPageBreak/>
        <w:t>permita contar con una plataforma mediante la cual los ciudadanos tengan la posibilidad de conocer y opinar sobre los proyectos de ley propuestos por los legisladores y</w:t>
      </w:r>
      <w:r w:rsidR="00A77629">
        <w:rPr>
          <w:rFonts w:ascii="Arial" w:hAnsi="Arial" w:cs="Arial"/>
          <w:sz w:val="24"/>
          <w:szCs w:val="24"/>
        </w:rPr>
        <w:t>,</w:t>
      </w:r>
      <w:r w:rsidR="00A77629" w:rsidRPr="00A77629">
        <w:rPr>
          <w:rFonts w:ascii="Arial" w:hAnsi="Arial" w:cs="Arial"/>
          <w:sz w:val="24"/>
          <w:szCs w:val="24"/>
        </w:rPr>
        <w:t xml:space="preserve"> de esa manera</w:t>
      </w:r>
      <w:r w:rsidR="00A77629">
        <w:rPr>
          <w:rFonts w:ascii="Arial" w:hAnsi="Arial" w:cs="Arial"/>
          <w:sz w:val="24"/>
          <w:szCs w:val="24"/>
        </w:rPr>
        <w:t>,</w:t>
      </w:r>
      <w:r w:rsidR="00A77629" w:rsidRPr="00A77629">
        <w:rPr>
          <w:rFonts w:ascii="Arial" w:hAnsi="Arial" w:cs="Arial"/>
          <w:sz w:val="24"/>
          <w:szCs w:val="24"/>
        </w:rPr>
        <w:t xml:space="preserve"> retroalimentar los trabajos legislativo</w:t>
      </w:r>
      <w:r w:rsidR="00A77629">
        <w:rPr>
          <w:rFonts w:ascii="Arial" w:hAnsi="Arial" w:cs="Arial"/>
          <w:sz w:val="24"/>
          <w:szCs w:val="24"/>
        </w:rPr>
        <w:t>s</w:t>
      </w:r>
      <w:r w:rsidR="00A77629" w:rsidRPr="00A77629">
        <w:rPr>
          <w:rFonts w:ascii="Arial" w:hAnsi="Arial" w:cs="Arial"/>
          <w:sz w:val="24"/>
          <w:szCs w:val="24"/>
        </w:rPr>
        <w:t xml:space="preserve"> en las modalidades, formatos y </w:t>
      </w:r>
      <w:r w:rsidR="002C3C22">
        <w:rPr>
          <w:rFonts w:ascii="Arial" w:hAnsi="Arial" w:cs="Arial"/>
          <w:sz w:val="24"/>
          <w:szCs w:val="24"/>
        </w:rPr>
        <w:t>ti</w:t>
      </w:r>
      <w:r w:rsidR="00A77629">
        <w:rPr>
          <w:rFonts w:ascii="Arial" w:hAnsi="Arial" w:cs="Arial"/>
          <w:sz w:val="24"/>
          <w:szCs w:val="24"/>
        </w:rPr>
        <w:t>e</w:t>
      </w:r>
      <w:r w:rsidR="002C3C22">
        <w:rPr>
          <w:rFonts w:ascii="Arial" w:hAnsi="Arial" w:cs="Arial"/>
          <w:sz w:val="24"/>
          <w:szCs w:val="24"/>
        </w:rPr>
        <w:t>m</w:t>
      </w:r>
      <w:r w:rsidR="00A77629">
        <w:rPr>
          <w:rFonts w:ascii="Arial" w:hAnsi="Arial" w:cs="Arial"/>
          <w:sz w:val="24"/>
          <w:szCs w:val="24"/>
        </w:rPr>
        <w:t>pos</w:t>
      </w:r>
      <w:r w:rsidR="00A77629" w:rsidRPr="00A77629">
        <w:rPr>
          <w:rFonts w:ascii="Arial" w:hAnsi="Arial" w:cs="Arial"/>
          <w:sz w:val="24"/>
          <w:szCs w:val="24"/>
        </w:rPr>
        <w:t xml:space="preserve"> que en su momento se señalen de acuerdo a la normatividad aplicable. </w:t>
      </w:r>
    </w:p>
    <w:p w:rsidR="0005680C" w:rsidRPr="00A77629" w:rsidRDefault="00A906C5" w:rsidP="002C3C22">
      <w:pPr>
        <w:spacing w:line="360" w:lineRule="auto"/>
        <w:jc w:val="both"/>
        <w:rPr>
          <w:rFonts w:ascii="Arial" w:hAnsi="Arial" w:cs="Arial"/>
          <w:sz w:val="24"/>
          <w:szCs w:val="24"/>
        </w:rPr>
      </w:pPr>
      <w:r w:rsidRPr="00A77629">
        <w:rPr>
          <w:rFonts w:ascii="Arial" w:hAnsi="Arial" w:cs="Arial"/>
          <w:sz w:val="24"/>
          <w:szCs w:val="24"/>
        </w:rPr>
        <w:t xml:space="preserve">Es por todo lo anteriormente expuesto </w:t>
      </w:r>
      <w:r w:rsidR="00F70440" w:rsidRPr="00A77629">
        <w:rPr>
          <w:rFonts w:ascii="Arial" w:hAnsi="Arial" w:cs="Arial"/>
          <w:sz w:val="24"/>
          <w:szCs w:val="24"/>
        </w:rPr>
        <w:t>que este Comité de Garantía d</w:t>
      </w:r>
      <w:r w:rsidR="00043B8F" w:rsidRPr="00A77629">
        <w:rPr>
          <w:rFonts w:ascii="Arial" w:hAnsi="Arial" w:cs="Arial"/>
          <w:sz w:val="24"/>
          <w:szCs w:val="24"/>
        </w:rPr>
        <w:t>e Acceso y Transparencia de la I</w:t>
      </w:r>
      <w:r w:rsidR="00F70440" w:rsidRPr="00A77629">
        <w:rPr>
          <w:rFonts w:ascii="Arial" w:hAnsi="Arial" w:cs="Arial"/>
          <w:sz w:val="24"/>
          <w:szCs w:val="24"/>
        </w:rPr>
        <w:t>nformación</w:t>
      </w:r>
      <w:r w:rsidRPr="00A77629">
        <w:rPr>
          <w:rFonts w:ascii="Arial" w:hAnsi="Arial" w:cs="Arial"/>
          <w:sz w:val="24"/>
          <w:szCs w:val="24"/>
        </w:rPr>
        <w:t xml:space="preserve">, </w:t>
      </w:r>
      <w:r w:rsidR="00043B8F" w:rsidRPr="00A77629">
        <w:rPr>
          <w:rFonts w:ascii="Arial" w:hAnsi="Arial" w:cs="Arial"/>
          <w:sz w:val="24"/>
          <w:szCs w:val="24"/>
        </w:rPr>
        <w:t>somete</w:t>
      </w:r>
      <w:r w:rsidRPr="00A77629">
        <w:rPr>
          <w:rFonts w:ascii="Arial" w:hAnsi="Arial" w:cs="Arial"/>
          <w:sz w:val="24"/>
          <w:szCs w:val="24"/>
        </w:rPr>
        <w:t xml:space="preserve"> a consideración de esta Honorable Soberanía el siguiente:</w:t>
      </w:r>
    </w:p>
    <w:p w:rsidR="0005680C" w:rsidRPr="00A77629" w:rsidRDefault="0005680C" w:rsidP="002C3C22">
      <w:pPr>
        <w:spacing w:line="360" w:lineRule="auto"/>
        <w:jc w:val="both"/>
        <w:rPr>
          <w:rFonts w:ascii="Arial" w:hAnsi="Arial" w:cs="Arial"/>
          <w:sz w:val="24"/>
          <w:szCs w:val="24"/>
        </w:rPr>
      </w:pPr>
    </w:p>
    <w:p w:rsidR="00F70440" w:rsidRDefault="00F70440" w:rsidP="002C3C22">
      <w:pPr>
        <w:spacing w:line="360" w:lineRule="auto"/>
        <w:jc w:val="center"/>
        <w:rPr>
          <w:rStyle w:val="Textoennegrita"/>
          <w:rFonts w:ascii="Arial" w:hAnsi="Arial" w:cs="Arial"/>
          <w:sz w:val="24"/>
          <w:szCs w:val="24"/>
          <w:shd w:val="clear" w:color="auto" w:fill="FFFFFF"/>
        </w:rPr>
      </w:pPr>
      <w:r w:rsidRPr="00A77629">
        <w:rPr>
          <w:rStyle w:val="Textoennegrita"/>
          <w:rFonts w:ascii="Arial" w:hAnsi="Arial" w:cs="Arial"/>
          <w:sz w:val="24"/>
          <w:szCs w:val="24"/>
          <w:shd w:val="clear" w:color="auto" w:fill="FFFFFF"/>
        </w:rPr>
        <w:t>ACUERDO</w:t>
      </w:r>
    </w:p>
    <w:p w:rsidR="002C3C22" w:rsidRPr="00A77629" w:rsidRDefault="002C3C22" w:rsidP="002C3C22">
      <w:pPr>
        <w:spacing w:line="360" w:lineRule="auto"/>
        <w:jc w:val="center"/>
        <w:rPr>
          <w:rStyle w:val="Textoennegrita"/>
          <w:rFonts w:ascii="Arial" w:hAnsi="Arial" w:cs="Arial"/>
          <w:sz w:val="24"/>
          <w:szCs w:val="24"/>
          <w:shd w:val="clear" w:color="auto" w:fill="FFFFFF"/>
        </w:rPr>
      </w:pPr>
    </w:p>
    <w:p w:rsidR="00F70440" w:rsidRDefault="002C3C22" w:rsidP="002C3C22">
      <w:pPr>
        <w:spacing w:line="360" w:lineRule="auto"/>
        <w:jc w:val="both"/>
        <w:rPr>
          <w:rFonts w:ascii="Arial" w:hAnsi="Arial" w:cs="Arial"/>
          <w:sz w:val="24"/>
          <w:szCs w:val="24"/>
        </w:rPr>
      </w:pPr>
      <w:r>
        <w:rPr>
          <w:rFonts w:ascii="Arial" w:hAnsi="Arial" w:cs="Arial"/>
          <w:b/>
          <w:sz w:val="24"/>
          <w:szCs w:val="24"/>
        </w:rPr>
        <w:t>PRIMERO</w:t>
      </w:r>
      <w:r w:rsidR="00F70440" w:rsidRPr="00A77629">
        <w:rPr>
          <w:rFonts w:ascii="Arial" w:hAnsi="Arial" w:cs="Arial"/>
          <w:b/>
          <w:sz w:val="24"/>
          <w:szCs w:val="24"/>
        </w:rPr>
        <w:t>.-</w:t>
      </w:r>
      <w:r w:rsidR="00F70440" w:rsidRPr="00A77629">
        <w:rPr>
          <w:rFonts w:ascii="Arial" w:hAnsi="Arial" w:cs="Arial"/>
          <w:sz w:val="24"/>
          <w:szCs w:val="24"/>
        </w:rPr>
        <w:t xml:space="preserve"> Se solicita respetuosamente a la Mesa Directiva </w:t>
      </w:r>
      <w:r w:rsidR="00AD4212" w:rsidRPr="00AD4212">
        <w:rPr>
          <w:rFonts w:ascii="Arial" w:hAnsi="Arial" w:cs="Arial"/>
          <w:sz w:val="24"/>
          <w:szCs w:val="24"/>
        </w:rPr>
        <w:t xml:space="preserve">apruebe que el COGATI encabece el desarrollo de un sistema informático denominado </w:t>
      </w:r>
      <w:r w:rsidR="00E80BC1">
        <w:rPr>
          <w:rFonts w:ascii="Arial" w:hAnsi="Arial" w:cs="Arial"/>
          <w:sz w:val="24"/>
          <w:szCs w:val="24"/>
        </w:rPr>
        <w:t>“</w:t>
      </w:r>
      <w:r w:rsidR="00AD4212" w:rsidRPr="00AD4212">
        <w:rPr>
          <w:rFonts w:ascii="Arial" w:hAnsi="Arial" w:cs="Arial"/>
          <w:sz w:val="24"/>
          <w:szCs w:val="24"/>
        </w:rPr>
        <w:t xml:space="preserve">Iniciativa Abierta a la </w:t>
      </w:r>
      <w:r w:rsidRPr="00AD4212">
        <w:rPr>
          <w:rFonts w:ascii="Arial" w:hAnsi="Arial" w:cs="Arial"/>
          <w:sz w:val="24"/>
          <w:szCs w:val="24"/>
        </w:rPr>
        <w:t>Ciudadanía</w:t>
      </w:r>
      <w:r w:rsidR="00E80BC1">
        <w:rPr>
          <w:rFonts w:ascii="Arial" w:hAnsi="Arial" w:cs="Arial"/>
          <w:sz w:val="24"/>
          <w:szCs w:val="24"/>
        </w:rPr>
        <w:t>”</w:t>
      </w:r>
      <w:r w:rsidR="00AD4212" w:rsidRPr="00AD4212">
        <w:rPr>
          <w:rFonts w:ascii="Arial" w:hAnsi="Arial" w:cs="Arial"/>
          <w:sz w:val="24"/>
          <w:szCs w:val="24"/>
        </w:rPr>
        <w:t xml:space="preserve"> </w:t>
      </w:r>
      <w:r>
        <w:rPr>
          <w:rFonts w:ascii="Arial" w:hAnsi="Arial" w:cs="Arial"/>
          <w:sz w:val="24"/>
          <w:szCs w:val="24"/>
        </w:rPr>
        <w:t>y para ello se instruya a las</w:t>
      </w:r>
      <w:r w:rsidR="00AD4212" w:rsidRPr="00AD4212">
        <w:rPr>
          <w:rFonts w:ascii="Arial" w:hAnsi="Arial" w:cs="Arial"/>
          <w:sz w:val="24"/>
          <w:szCs w:val="24"/>
        </w:rPr>
        <w:t xml:space="preserve"> Secretarías de Servicios Parlamentarios y Servicios Administrativos </w:t>
      </w:r>
      <w:r>
        <w:rPr>
          <w:rFonts w:ascii="Arial" w:hAnsi="Arial" w:cs="Arial"/>
          <w:sz w:val="24"/>
          <w:szCs w:val="24"/>
        </w:rPr>
        <w:t>a destinar los recursos humanos y materiales necesarios de conformidad con los requerimientos que se establecen en el documento Anexo.</w:t>
      </w:r>
    </w:p>
    <w:p w:rsidR="00F70440" w:rsidRDefault="002C3C22" w:rsidP="00E80BC1">
      <w:pPr>
        <w:spacing w:line="360" w:lineRule="auto"/>
        <w:jc w:val="both"/>
        <w:rPr>
          <w:rFonts w:ascii="Arial" w:hAnsi="Arial" w:cs="Arial"/>
          <w:sz w:val="24"/>
          <w:szCs w:val="24"/>
        </w:rPr>
      </w:pPr>
      <w:r>
        <w:rPr>
          <w:rFonts w:ascii="Arial" w:hAnsi="Arial" w:cs="Arial"/>
          <w:b/>
          <w:sz w:val="24"/>
          <w:szCs w:val="24"/>
        </w:rPr>
        <w:t xml:space="preserve">SEGUNDO.- </w:t>
      </w:r>
      <w:r w:rsidR="00E80BC1">
        <w:rPr>
          <w:rFonts w:ascii="Arial" w:hAnsi="Arial" w:cs="Arial"/>
          <w:sz w:val="24"/>
          <w:szCs w:val="24"/>
        </w:rPr>
        <w:t xml:space="preserve">Se solicita respetuosamente a la Mesa Directiva autorice al COGATI a desarrollar la plataforma en colaboración con Organizaciones de la Sociedad Civil especializadas en monitoreo parlamentario. </w:t>
      </w:r>
    </w:p>
    <w:p w:rsidR="00E80BC1" w:rsidRPr="00A77629" w:rsidRDefault="00E80BC1" w:rsidP="00E80BC1">
      <w:pPr>
        <w:spacing w:line="360" w:lineRule="auto"/>
        <w:jc w:val="both"/>
        <w:rPr>
          <w:rFonts w:ascii="Arial" w:hAnsi="Arial" w:cs="Arial"/>
          <w:sz w:val="24"/>
          <w:szCs w:val="24"/>
        </w:rPr>
      </w:pPr>
    </w:p>
    <w:p w:rsidR="00F70440" w:rsidRPr="00A77629" w:rsidRDefault="00F70440" w:rsidP="002C3C22">
      <w:pPr>
        <w:spacing w:line="360" w:lineRule="auto"/>
        <w:jc w:val="center"/>
        <w:rPr>
          <w:rFonts w:ascii="Arial" w:hAnsi="Arial" w:cs="Arial"/>
          <w:sz w:val="24"/>
          <w:szCs w:val="24"/>
        </w:rPr>
      </w:pPr>
      <w:r w:rsidRPr="00A77629">
        <w:rPr>
          <w:rFonts w:ascii="Arial" w:hAnsi="Arial" w:cs="Arial"/>
          <w:sz w:val="24"/>
          <w:szCs w:val="24"/>
        </w:rPr>
        <w:t xml:space="preserve">México, D.F. a </w:t>
      </w:r>
      <w:r w:rsidR="00E80BC1">
        <w:rPr>
          <w:rFonts w:ascii="Arial" w:hAnsi="Arial" w:cs="Arial"/>
          <w:sz w:val="24"/>
          <w:szCs w:val="24"/>
        </w:rPr>
        <w:t>10</w:t>
      </w:r>
      <w:r w:rsidRPr="00A77629">
        <w:rPr>
          <w:rFonts w:ascii="Arial" w:hAnsi="Arial" w:cs="Arial"/>
          <w:sz w:val="24"/>
          <w:szCs w:val="24"/>
        </w:rPr>
        <w:t xml:space="preserve"> de </w:t>
      </w:r>
      <w:r w:rsidR="00E80BC1">
        <w:rPr>
          <w:rFonts w:ascii="Arial" w:hAnsi="Arial" w:cs="Arial"/>
          <w:sz w:val="24"/>
          <w:szCs w:val="24"/>
        </w:rPr>
        <w:t>septiembre</w:t>
      </w:r>
      <w:r w:rsidRPr="00A77629">
        <w:rPr>
          <w:rFonts w:ascii="Arial" w:hAnsi="Arial" w:cs="Arial"/>
          <w:sz w:val="24"/>
          <w:szCs w:val="24"/>
        </w:rPr>
        <w:t xml:space="preserve"> de 2014.</w:t>
      </w:r>
    </w:p>
    <w:p w:rsidR="00F70440" w:rsidRDefault="00F70440" w:rsidP="002C3C22">
      <w:pPr>
        <w:spacing w:line="360" w:lineRule="auto"/>
        <w:jc w:val="center"/>
        <w:rPr>
          <w:rFonts w:ascii="Arial" w:hAnsi="Arial" w:cs="Arial"/>
          <w:sz w:val="24"/>
          <w:szCs w:val="24"/>
        </w:rPr>
      </w:pPr>
    </w:p>
    <w:p w:rsidR="00E80BC1" w:rsidRDefault="00E80BC1" w:rsidP="002C3C22">
      <w:pPr>
        <w:spacing w:line="360" w:lineRule="auto"/>
        <w:jc w:val="center"/>
        <w:rPr>
          <w:rFonts w:ascii="Arial" w:hAnsi="Arial" w:cs="Arial"/>
          <w:sz w:val="24"/>
          <w:szCs w:val="24"/>
        </w:rPr>
      </w:pPr>
    </w:p>
    <w:p w:rsidR="00E80BC1" w:rsidRPr="00A77629" w:rsidRDefault="00E80BC1" w:rsidP="002C3C22">
      <w:pPr>
        <w:spacing w:line="360" w:lineRule="auto"/>
        <w:jc w:val="center"/>
        <w:rPr>
          <w:rFonts w:ascii="Arial" w:hAnsi="Arial" w:cs="Arial"/>
          <w:sz w:val="24"/>
          <w:szCs w:val="24"/>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394"/>
      </w:tblGrid>
      <w:tr w:rsidR="00F70440" w:rsidRPr="00A77629" w:rsidTr="00F70440">
        <w:tc>
          <w:tcPr>
            <w:tcW w:w="9180" w:type="dxa"/>
            <w:gridSpan w:val="2"/>
            <w:vAlign w:val="center"/>
          </w:tcPr>
          <w:p w:rsidR="00F70440" w:rsidRPr="002C3C22" w:rsidRDefault="00F70440" w:rsidP="002C3C22">
            <w:pPr>
              <w:spacing w:after="120" w:line="360" w:lineRule="auto"/>
              <w:jc w:val="center"/>
              <w:rPr>
                <w:rFonts w:ascii="Arial" w:hAnsi="Arial" w:cs="Arial"/>
                <w:b/>
                <w:szCs w:val="24"/>
              </w:rPr>
            </w:pPr>
          </w:p>
          <w:p w:rsidR="00F70440" w:rsidRPr="002C3C22" w:rsidRDefault="00F70440" w:rsidP="002C3C22">
            <w:pPr>
              <w:spacing w:after="120" w:line="360" w:lineRule="auto"/>
              <w:jc w:val="center"/>
              <w:rPr>
                <w:rFonts w:ascii="Arial" w:hAnsi="Arial" w:cs="Arial"/>
                <w:b/>
                <w:szCs w:val="24"/>
              </w:rPr>
            </w:pPr>
          </w:p>
          <w:p w:rsidR="00F70440" w:rsidRPr="002C3C22" w:rsidRDefault="00F70440" w:rsidP="002C3C22">
            <w:pPr>
              <w:spacing w:after="120" w:line="360" w:lineRule="auto"/>
              <w:jc w:val="center"/>
              <w:rPr>
                <w:rFonts w:ascii="Arial" w:hAnsi="Arial" w:cs="Arial"/>
                <w:b/>
                <w:szCs w:val="24"/>
              </w:rPr>
            </w:pPr>
            <w:r w:rsidRPr="002C3C22">
              <w:rPr>
                <w:rFonts w:ascii="Arial" w:hAnsi="Arial" w:cs="Arial"/>
                <w:b/>
                <w:szCs w:val="24"/>
              </w:rPr>
              <w:t>SEN. ARELY GÓMEZ GONZÁLEZ</w:t>
            </w:r>
          </w:p>
          <w:p w:rsidR="00F70440" w:rsidRPr="002C3C22" w:rsidRDefault="00F70440" w:rsidP="002C3C22">
            <w:pPr>
              <w:spacing w:after="120" w:line="360" w:lineRule="auto"/>
              <w:jc w:val="center"/>
              <w:rPr>
                <w:rFonts w:ascii="Arial" w:hAnsi="Arial" w:cs="Arial"/>
                <w:b/>
                <w:szCs w:val="24"/>
              </w:rPr>
            </w:pPr>
            <w:r w:rsidRPr="002C3C22">
              <w:rPr>
                <w:rFonts w:ascii="Arial" w:hAnsi="Arial" w:cs="Arial"/>
                <w:b/>
                <w:szCs w:val="24"/>
              </w:rPr>
              <w:t>PRESIDENTE</w:t>
            </w:r>
          </w:p>
        </w:tc>
      </w:tr>
      <w:tr w:rsidR="00F70440" w:rsidRPr="00A77629" w:rsidTr="00F70440">
        <w:tc>
          <w:tcPr>
            <w:tcW w:w="4786" w:type="dxa"/>
            <w:vAlign w:val="center"/>
          </w:tcPr>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rPr>
                <w:rFonts w:ascii="Arial" w:hAnsi="Arial" w:cs="Arial"/>
                <w:b/>
                <w:szCs w:val="24"/>
              </w:rPr>
            </w:pPr>
          </w:p>
          <w:p w:rsidR="00F70440" w:rsidRPr="002C3C22" w:rsidRDefault="00F70440" w:rsidP="002C3C22">
            <w:pPr>
              <w:spacing w:line="360" w:lineRule="auto"/>
              <w:jc w:val="center"/>
              <w:rPr>
                <w:rFonts w:ascii="Arial" w:hAnsi="Arial" w:cs="Arial"/>
                <w:b/>
                <w:szCs w:val="24"/>
              </w:rPr>
            </w:pPr>
            <w:r w:rsidRPr="002C3C22">
              <w:rPr>
                <w:rFonts w:ascii="Arial" w:hAnsi="Arial" w:cs="Arial"/>
                <w:b/>
                <w:szCs w:val="24"/>
              </w:rPr>
              <w:t>SEN. SALVADOR VEGA CASILLAS</w:t>
            </w:r>
          </w:p>
          <w:p w:rsidR="00F70440" w:rsidRPr="002C3C22" w:rsidRDefault="00F70440" w:rsidP="002C3C22">
            <w:pPr>
              <w:spacing w:line="360" w:lineRule="auto"/>
              <w:jc w:val="center"/>
              <w:rPr>
                <w:rFonts w:ascii="Arial" w:hAnsi="Arial" w:cs="Arial"/>
                <w:b/>
                <w:szCs w:val="24"/>
              </w:rPr>
            </w:pPr>
            <w:r w:rsidRPr="002C3C22">
              <w:rPr>
                <w:rFonts w:ascii="Arial" w:hAnsi="Arial" w:cs="Arial"/>
                <w:b/>
                <w:szCs w:val="24"/>
              </w:rPr>
              <w:t>SECRETARIO</w:t>
            </w:r>
          </w:p>
        </w:tc>
        <w:tc>
          <w:tcPr>
            <w:tcW w:w="4394" w:type="dxa"/>
            <w:vAlign w:val="center"/>
          </w:tcPr>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r w:rsidRPr="002C3C22">
              <w:rPr>
                <w:rFonts w:ascii="Arial" w:hAnsi="Arial" w:cs="Arial"/>
                <w:b/>
                <w:szCs w:val="24"/>
              </w:rPr>
              <w:t>SEN. ANGÉLICA DE LA PEÑA GÓMEZ</w:t>
            </w:r>
          </w:p>
          <w:p w:rsidR="00F70440" w:rsidRPr="002C3C22" w:rsidRDefault="00F70440" w:rsidP="002C3C22">
            <w:pPr>
              <w:spacing w:line="360" w:lineRule="auto"/>
              <w:jc w:val="center"/>
              <w:rPr>
                <w:rFonts w:ascii="Arial" w:hAnsi="Arial" w:cs="Arial"/>
                <w:b/>
                <w:szCs w:val="24"/>
              </w:rPr>
            </w:pPr>
            <w:r w:rsidRPr="002C3C22">
              <w:rPr>
                <w:rFonts w:ascii="Arial" w:hAnsi="Arial" w:cs="Arial"/>
                <w:b/>
                <w:szCs w:val="24"/>
              </w:rPr>
              <w:t>SECRETARIA</w:t>
            </w:r>
          </w:p>
        </w:tc>
      </w:tr>
      <w:tr w:rsidR="00F70440" w:rsidRPr="00A77629" w:rsidTr="00F70440">
        <w:tc>
          <w:tcPr>
            <w:tcW w:w="4786" w:type="dxa"/>
            <w:vAlign w:val="center"/>
          </w:tcPr>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p>
          <w:p w:rsidR="00F70440" w:rsidRPr="002C3C22" w:rsidRDefault="00F70440" w:rsidP="002C3C22">
            <w:pPr>
              <w:spacing w:line="360" w:lineRule="auto"/>
              <w:ind w:right="-335"/>
              <w:jc w:val="center"/>
              <w:rPr>
                <w:rFonts w:ascii="Arial" w:hAnsi="Arial" w:cs="Arial"/>
                <w:b/>
                <w:szCs w:val="24"/>
              </w:rPr>
            </w:pPr>
            <w:r w:rsidRPr="002C3C22">
              <w:rPr>
                <w:rFonts w:ascii="Arial" w:hAnsi="Arial" w:cs="Arial"/>
                <w:b/>
                <w:szCs w:val="24"/>
              </w:rPr>
              <w:t>SEN. JUAN GERARDO FLORES RAMÍREZ</w:t>
            </w:r>
          </w:p>
          <w:p w:rsidR="00F70440" w:rsidRPr="002C3C22" w:rsidRDefault="00F70440" w:rsidP="002C3C22">
            <w:pPr>
              <w:spacing w:line="360" w:lineRule="auto"/>
              <w:jc w:val="center"/>
              <w:rPr>
                <w:rFonts w:ascii="Arial" w:hAnsi="Arial" w:cs="Arial"/>
                <w:b/>
                <w:szCs w:val="24"/>
              </w:rPr>
            </w:pPr>
            <w:r w:rsidRPr="002C3C22">
              <w:rPr>
                <w:rFonts w:ascii="Arial" w:hAnsi="Arial" w:cs="Arial"/>
                <w:b/>
                <w:szCs w:val="24"/>
              </w:rPr>
              <w:t>INTEGRANTE</w:t>
            </w:r>
          </w:p>
        </w:tc>
        <w:tc>
          <w:tcPr>
            <w:tcW w:w="4394" w:type="dxa"/>
            <w:vAlign w:val="center"/>
          </w:tcPr>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jc w:val="center"/>
              <w:rPr>
                <w:rFonts w:ascii="Arial" w:hAnsi="Arial" w:cs="Arial"/>
                <w:b/>
                <w:szCs w:val="24"/>
              </w:rPr>
            </w:pPr>
          </w:p>
          <w:p w:rsidR="00F70440" w:rsidRPr="002C3C22" w:rsidRDefault="00F70440" w:rsidP="002C3C22">
            <w:pPr>
              <w:spacing w:line="360" w:lineRule="auto"/>
              <w:jc w:val="center"/>
              <w:rPr>
                <w:rFonts w:ascii="Arial" w:hAnsi="Arial" w:cs="Arial"/>
                <w:b/>
                <w:szCs w:val="24"/>
              </w:rPr>
            </w:pPr>
            <w:r w:rsidRPr="002C3C22">
              <w:rPr>
                <w:rFonts w:ascii="Arial" w:hAnsi="Arial" w:cs="Arial"/>
                <w:b/>
                <w:szCs w:val="24"/>
              </w:rPr>
              <w:t>SEN. MARTHA PALAFOX GUTIÉRREZ</w:t>
            </w:r>
          </w:p>
          <w:p w:rsidR="00F70440" w:rsidRPr="002C3C22" w:rsidRDefault="00F70440" w:rsidP="002C3C22">
            <w:pPr>
              <w:spacing w:line="360" w:lineRule="auto"/>
              <w:jc w:val="center"/>
              <w:rPr>
                <w:rFonts w:ascii="Arial" w:hAnsi="Arial" w:cs="Arial"/>
                <w:b/>
                <w:szCs w:val="24"/>
              </w:rPr>
            </w:pPr>
            <w:r w:rsidRPr="002C3C22">
              <w:rPr>
                <w:rFonts w:ascii="Arial" w:hAnsi="Arial" w:cs="Arial"/>
                <w:b/>
                <w:szCs w:val="24"/>
              </w:rPr>
              <w:t>INTEGRANTE</w:t>
            </w:r>
          </w:p>
        </w:tc>
      </w:tr>
    </w:tbl>
    <w:p w:rsidR="00F70440" w:rsidRPr="00A77629" w:rsidRDefault="00F70440" w:rsidP="002C3C22">
      <w:pPr>
        <w:spacing w:line="360" w:lineRule="auto"/>
        <w:jc w:val="both"/>
        <w:rPr>
          <w:rFonts w:ascii="Arial" w:hAnsi="Arial" w:cs="Arial"/>
          <w:sz w:val="24"/>
          <w:szCs w:val="24"/>
          <w:lang w:val="es-MX"/>
        </w:rPr>
      </w:pPr>
    </w:p>
    <w:p w:rsidR="00E80BC1" w:rsidRDefault="00E80BC1">
      <w:pPr>
        <w:spacing w:after="200" w:line="276" w:lineRule="auto"/>
        <w:rPr>
          <w:rFonts w:ascii="Arial" w:hAnsi="Arial" w:cs="Arial"/>
          <w:sz w:val="24"/>
          <w:szCs w:val="24"/>
          <w:lang w:val="es-MX"/>
        </w:rPr>
      </w:pPr>
      <w:r>
        <w:rPr>
          <w:rFonts w:ascii="Arial" w:hAnsi="Arial" w:cs="Arial"/>
          <w:sz w:val="24"/>
          <w:szCs w:val="24"/>
          <w:lang w:val="es-MX"/>
        </w:rPr>
        <w:br w:type="page"/>
      </w:r>
    </w:p>
    <w:p w:rsidR="00F70440" w:rsidRPr="00E80BC1" w:rsidRDefault="00E80BC1" w:rsidP="00E80BC1">
      <w:pPr>
        <w:spacing w:line="240" w:lineRule="auto"/>
        <w:jc w:val="center"/>
        <w:rPr>
          <w:rFonts w:ascii="Arial" w:hAnsi="Arial" w:cs="Arial"/>
          <w:b/>
          <w:sz w:val="24"/>
          <w:szCs w:val="24"/>
          <w:lang w:val="es-MX"/>
        </w:rPr>
      </w:pPr>
      <w:r w:rsidRPr="00E80BC1">
        <w:rPr>
          <w:rFonts w:ascii="Arial" w:hAnsi="Arial" w:cs="Arial"/>
          <w:b/>
          <w:sz w:val="24"/>
          <w:szCs w:val="24"/>
          <w:lang w:val="es-MX"/>
        </w:rPr>
        <w:lastRenderedPageBreak/>
        <w:t>ANEXO</w:t>
      </w:r>
    </w:p>
    <w:p w:rsidR="00E80BC1" w:rsidRDefault="00E80BC1" w:rsidP="00E80BC1">
      <w:pPr>
        <w:spacing w:line="240" w:lineRule="auto"/>
        <w:jc w:val="center"/>
        <w:rPr>
          <w:rFonts w:ascii="Arial" w:hAnsi="Arial" w:cs="Arial"/>
          <w:b/>
          <w:sz w:val="24"/>
          <w:szCs w:val="24"/>
          <w:lang w:val="es-MX"/>
        </w:rPr>
      </w:pPr>
      <w:r w:rsidRPr="00E80BC1">
        <w:rPr>
          <w:rFonts w:ascii="Arial" w:hAnsi="Arial" w:cs="Arial"/>
          <w:b/>
          <w:sz w:val="24"/>
          <w:szCs w:val="24"/>
          <w:lang w:val="es-MX"/>
        </w:rPr>
        <w:t>REQUERIMENTOS PLATAFORMA INICIATIVA ABIERTA A LA CIUDADANÍA</w:t>
      </w:r>
    </w:p>
    <w:p w:rsidR="006325D1" w:rsidRDefault="006325D1" w:rsidP="00EE7B4F">
      <w:pPr>
        <w:spacing w:line="360" w:lineRule="auto"/>
        <w:jc w:val="center"/>
        <w:rPr>
          <w:rFonts w:ascii="Arial" w:hAnsi="Arial" w:cs="Arial"/>
          <w:b/>
          <w:sz w:val="24"/>
          <w:szCs w:val="24"/>
          <w:lang w:val="es-MX"/>
        </w:rPr>
      </w:pPr>
      <w:bookmarkStart w:id="0" w:name="_GoBack"/>
      <w:bookmarkEnd w:id="0"/>
    </w:p>
    <w:p w:rsidR="008F3FA2" w:rsidRDefault="00BC46B1" w:rsidP="00EE7B4F">
      <w:pPr>
        <w:spacing w:line="360" w:lineRule="auto"/>
        <w:jc w:val="both"/>
        <w:rPr>
          <w:rFonts w:ascii="Arial" w:hAnsi="Arial" w:cs="Arial"/>
          <w:sz w:val="24"/>
          <w:szCs w:val="24"/>
          <w:lang w:val="es-MX"/>
        </w:rPr>
      </w:pPr>
      <w:r w:rsidRPr="00EE7B4F">
        <w:rPr>
          <w:rFonts w:ascii="Arial" w:hAnsi="Arial" w:cs="Arial"/>
          <w:sz w:val="24"/>
          <w:szCs w:val="24"/>
          <w:lang w:val="es-MX"/>
        </w:rPr>
        <w:t xml:space="preserve">Por recomendación de expertos en desarrollar tecnologías de la información y comunicación para monitorear al legislativo sugerimos contar con una plataforma similar a la denominada </w:t>
      </w:r>
      <w:r w:rsidRPr="00EE7B4F">
        <w:rPr>
          <w:rFonts w:ascii="Arial" w:hAnsi="Arial" w:cs="Arial"/>
          <w:i/>
          <w:sz w:val="24"/>
          <w:szCs w:val="24"/>
          <w:lang w:val="es-MX"/>
        </w:rPr>
        <w:t xml:space="preserve">Democracy OS. </w:t>
      </w:r>
      <w:r w:rsidRPr="00EE7B4F">
        <w:rPr>
          <w:rFonts w:ascii="Arial" w:hAnsi="Arial" w:cs="Arial"/>
          <w:sz w:val="24"/>
          <w:szCs w:val="24"/>
          <w:lang w:val="es-MX"/>
        </w:rPr>
        <w:t xml:space="preserve">Dicha plataforma cuenta con dos funciones: </w:t>
      </w:r>
    </w:p>
    <w:p w:rsidR="00EE7B4F" w:rsidRPr="00EE7B4F" w:rsidRDefault="00EE7B4F" w:rsidP="00EE7B4F">
      <w:pPr>
        <w:spacing w:line="360" w:lineRule="auto"/>
        <w:ind w:firstLine="708"/>
        <w:rPr>
          <w:rFonts w:ascii="Arial" w:hAnsi="Arial" w:cs="Arial"/>
          <w:sz w:val="10"/>
          <w:szCs w:val="24"/>
          <w:lang w:val="es-MX"/>
        </w:rPr>
      </w:pPr>
    </w:p>
    <w:p w:rsidR="008F3FA2" w:rsidRPr="00EE7B4F" w:rsidRDefault="00BC46B1" w:rsidP="00EE7B4F">
      <w:pPr>
        <w:spacing w:line="360" w:lineRule="auto"/>
        <w:ind w:firstLine="708"/>
        <w:rPr>
          <w:rFonts w:ascii="Arial" w:hAnsi="Arial" w:cs="Arial"/>
          <w:sz w:val="24"/>
          <w:szCs w:val="24"/>
          <w:lang w:val="es-MX"/>
        </w:rPr>
      </w:pPr>
      <w:r w:rsidRPr="00EE7B4F">
        <w:rPr>
          <w:rFonts w:ascii="Arial" w:hAnsi="Arial" w:cs="Arial"/>
          <w:sz w:val="24"/>
          <w:szCs w:val="24"/>
          <w:lang w:val="es-MX"/>
        </w:rPr>
        <w:t xml:space="preserve">1) permite a los representantes subir propuestas de regulación normativa y </w:t>
      </w:r>
      <w:r w:rsidR="001C0CAA" w:rsidRPr="00EE7B4F">
        <w:rPr>
          <w:rFonts w:ascii="Arial" w:hAnsi="Arial" w:cs="Arial"/>
          <w:sz w:val="24"/>
          <w:szCs w:val="24"/>
          <w:lang w:val="es-MX"/>
        </w:rPr>
        <w:tab/>
      </w:r>
      <w:r w:rsidRPr="00EE7B4F">
        <w:rPr>
          <w:rFonts w:ascii="Arial" w:hAnsi="Arial" w:cs="Arial"/>
          <w:sz w:val="24"/>
          <w:szCs w:val="24"/>
          <w:lang w:val="es-MX"/>
        </w:rPr>
        <w:t>ser sujetas al excrutinio público</w:t>
      </w:r>
      <w:r w:rsidR="008F3FA2" w:rsidRPr="00EE7B4F">
        <w:rPr>
          <w:rFonts w:ascii="Arial" w:hAnsi="Arial" w:cs="Arial"/>
          <w:sz w:val="24"/>
          <w:szCs w:val="24"/>
          <w:lang w:val="es-MX"/>
        </w:rPr>
        <w:t xml:space="preserve">; y, </w:t>
      </w:r>
    </w:p>
    <w:p w:rsidR="008F3FA2" w:rsidRPr="00EE7B4F" w:rsidRDefault="001C0CAA" w:rsidP="00EE7B4F">
      <w:pPr>
        <w:spacing w:line="360" w:lineRule="auto"/>
        <w:rPr>
          <w:rFonts w:ascii="Arial" w:hAnsi="Arial" w:cs="Arial"/>
          <w:sz w:val="24"/>
          <w:szCs w:val="24"/>
          <w:lang w:val="es-MX"/>
        </w:rPr>
      </w:pPr>
      <w:r w:rsidRPr="00EE7B4F">
        <w:rPr>
          <w:rFonts w:ascii="Arial" w:hAnsi="Arial" w:cs="Arial"/>
          <w:sz w:val="24"/>
          <w:szCs w:val="24"/>
          <w:lang w:val="es-MX"/>
        </w:rPr>
        <w:tab/>
      </w:r>
      <w:r w:rsidR="008F3FA2" w:rsidRPr="00EE7B4F">
        <w:rPr>
          <w:rFonts w:ascii="Arial" w:hAnsi="Arial" w:cs="Arial"/>
          <w:sz w:val="24"/>
          <w:szCs w:val="24"/>
          <w:lang w:val="es-MX"/>
        </w:rPr>
        <w:t xml:space="preserve">2) permite a los ciudadanos subir propuestas y sujetarlas a los comentarios </w:t>
      </w:r>
      <w:r w:rsidRPr="00EE7B4F">
        <w:rPr>
          <w:rFonts w:ascii="Arial" w:hAnsi="Arial" w:cs="Arial"/>
          <w:sz w:val="24"/>
          <w:szCs w:val="24"/>
          <w:lang w:val="es-MX"/>
        </w:rPr>
        <w:tab/>
      </w:r>
      <w:r w:rsidR="008F3FA2" w:rsidRPr="00EE7B4F">
        <w:rPr>
          <w:rFonts w:ascii="Arial" w:hAnsi="Arial" w:cs="Arial"/>
          <w:sz w:val="24"/>
          <w:szCs w:val="24"/>
          <w:lang w:val="es-MX"/>
        </w:rPr>
        <w:t xml:space="preserve">de los demás conciudadanos. </w:t>
      </w:r>
    </w:p>
    <w:p w:rsidR="001C0CAA" w:rsidRPr="00EE7B4F" w:rsidRDefault="001C0CAA" w:rsidP="00EE7B4F">
      <w:pPr>
        <w:spacing w:line="360" w:lineRule="auto"/>
        <w:rPr>
          <w:rFonts w:ascii="Arial" w:hAnsi="Arial" w:cs="Arial"/>
          <w:sz w:val="6"/>
          <w:szCs w:val="24"/>
          <w:lang w:val="es-MX"/>
        </w:rPr>
      </w:pPr>
    </w:p>
    <w:p w:rsidR="008F3FA2" w:rsidRPr="00EE7B4F" w:rsidRDefault="008F3FA2" w:rsidP="00EE7B4F">
      <w:pPr>
        <w:spacing w:line="360" w:lineRule="auto"/>
        <w:rPr>
          <w:rFonts w:ascii="Arial" w:hAnsi="Arial" w:cs="Arial"/>
          <w:sz w:val="24"/>
          <w:szCs w:val="24"/>
          <w:lang w:val="es-MX"/>
        </w:rPr>
      </w:pPr>
      <w:r w:rsidRPr="00EE7B4F">
        <w:rPr>
          <w:rFonts w:ascii="Arial" w:hAnsi="Arial" w:cs="Arial"/>
          <w:sz w:val="24"/>
          <w:szCs w:val="24"/>
          <w:lang w:val="es-MX"/>
        </w:rPr>
        <w:t xml:space="preserve">Así mismo, esta plataforma permite realizar tres acciones: </w:t>
      </w:r>
    </w:p>
    <w:p w:rsidR="008F3FA2" w:rsidRPr="00EE7B4F" w:rsidRDefault="001C0CAA" w:rsidP="00EE7B4F">
      <w:pPr>
        <w:spacing w:line="360" w:lineRule="auto"/>
        <w:rPr>
          <w:rFonts w:ascii="Arial" w:hAnsi="Arial" w:cs="Arial"/>
          <w:sz w:val="24"/>
          <w:szCs w:val="24"/>
          <w:lang w:val="es-MX"/>
        </w:rPr>
      </w:pPr>
      <w:r w:rsidRPr="00EE7B4F">
        <w:rPr>
          <w:rFonts w:ascii="Arial" w:hAnsi="Arial" w:cs="Arial"/>
          <w:sz w:val="24"/>
          <w:szCs w:val="24"/>
          <w:lang w:val="es-MX"/>
        </w:rPr>
        <w:tab/>
      </w:r>
      <w:r w:rsidR="008F3FA2" w:rsidRPr="00EE7B4F">
        <w:rPr>
          <w:rFonts w:ascii="Arial" w:hAnsi="Arial" w:cs="Arial"/>
          <w:sz w:val="24"/>
          <w:szCs w:val="24"/>
          <w:lang w:val="es-MX"/>
        </w:rPr>
        <w:t xml:space="preserve">1) Informarte (a cerca del proyecto sujeto a discusión); </w:t>
      </w:r>
    </w:p>
    <w:p w:rsidR="008F3FA2" w:rsidRPr="00EE7B4F" w:rsidRDefault="001C0CAA" w:rsidP="00EE7B4F">
      <w:pPr>
        <w:spacing w:line="360" w:lineRule="auto"/>
        <w:rPr>
          <w:rFonts w:ascii="Arial" w:hAnsi="Arial" w:cs="Arial"/>
          <w:sz w:val="24"/>
          <w:szCs w:val="24"/>
          <w:lang w:val="es-MX"/>
        </w:rPr>
      </w:pPr>
      <w:r w:rsidRPr="00EE7B4F">
        <w:rPr>
          <w:rFonts w:ascii="Arial" w:hAnsi="Arial" w:cs="Arial"/>
          <w:sz w:val="24"/>
          <w:szCs w:val="24"/>
          <w:lang w:val="es-MX"/>
        </w:rPr>
        <w:tab/>
      </w:r>
      <w:r w:rsidR="008F3FA2" w:rsidRPr="00EE7B4F">
        <w:rPr>
          <w:rFonts w:ascii="Arial" w:hAnsi="Arial" w:cs="Arial"/>
          <w:sz w:val="24"/>
          <w:szCs w:val="24"/>
          <w:lang w:val="es-MX"/>
        </w:rPr>
        <w:t>2) Entrarle a la discusión (y, así, emitir tu opinión sobre el proyecto); y,</w:t>
      </w:r>
    </w:p>
    <w:p w:rsidR="006325D1" w:rsidRPr="00EE7B4F" w:rsidRDefault="001C0CAA" w:rsidP="00EE7B4F">
      <w:pPr>
        <w:spacing w:line="360" w:lineRule="auto"/>
        <w:rPr>
          <w:rFonts w:ascii="Arial" w:hAnsi="Arial" w:cs="Arial"/>
          <w:sz w:val="24"/>
          <w:szCs w:val="24"/>
          <w:lang w:val="es-MX"/>
        </w:rPr>
      </w:pPr>
      <w:r w:rsidRPr="00EE7B4F">
        <w:rPr>
          <w:rFonts w:ascii="Arial" w:hAnsi="Arial" w:cs="Arial"/>
          <w:sz w:val="24"/>
          <w:szCs w:val="24"/>
          <w:lang w:val="es-MX"/>
        </w:rPr>
        <w:tab/>
      </w:r>
      <w:r w:rsidR="008F3FA2" w:rsidRPr="00EE7B4F">
        <w:rPr>
          <w:rFonts w:ascii="Arial" w:hAnsi="Arial" w:cs="Arial"/>
          <w:sz w:val="24"/>
          <w:szCs w:val="24"/>
          <w:lang w:val="es-MX"/>
        </w:rPr>
        <w:t>3) Votar.</w:t>
      </w:r>
    </w:p>
    <w:p w:rsidR="00EE7B4F" w:rsidRPr="00EE7B4F" w:rsidRDefault="00EE7B4F" w:rsidP="00EE7B4F">
      <w:pPr>
        <w:spacing w:line="360" w:lineRule="auto"/>
        <w:jc w:val="both"/>
        <w:rPr>
          <w:rFonts w:ascii="Arial" w:hAnsi="Arial" w:cs="Arial"/>
          <w:sz w:val="8"/>
          <w:szCs w:val="24"/>
          <w:lang w:val="es-MX"/>
        </w:rPr>
      </w:pPr>
    </w:p>
    <w:p w:rsidR="00EE7B4F" w:rsidRPr="00EE7B4F" w:rsidRDefault="0005709A" w:rsidP="00EE7B4F">
      <w:pPr>
        <w:spacing w:line="360" w:lineRule="auto"/>
        <w:jc w:val="both"/>
        <w:rPr>
          <w:rFonts w:ascii="Arial" w:hAnsi="Arial" w:cs="Arial"/>
          <w:i/>
          <w:sz w:val="24"/>
          <w:szCs w:val="24"/>
          <w:lang w:val="es-MX"/>
        </w:rPr>
      </w:pPr>
      <w:r w:rsidRPr="00EE7B4F">
        <w:rPr>
          <w:rFonts w:ascii="Arial" w:hAnsi="Arial" w:cs="Arial"/>
          <w:sz w:val="24"/>
          <w:szCs w:val="24"/>
          <w:lang w:val="es-MX"/>
        </w:rPr>
        <w:t xml:space="preserve">Adicionalmente, se sugiere la utilización de dicha plataforma toda vez que la licencia (MIT) que la acompaña permite realizar modificaciones y programar por encima de la plataforma para adecuarla a las necesidades del usuario. Así, será necesario contar con técnicos que conozcan utilizar el lenguaje </w:t>
      </w:r>
      <w:r w:rsidRPr="00EE7B4F">
        <w:rPr>
          <w:rFonts w:ascii="Arial" w:hAnsi="Arial" w:cs="Arial"/>
          <w:i/>
          <w:sz w:val="24"/>
          <w:szCs w:val="24"/>
          <w:lang w:val="es-MX"/>
        </w:rPr>
        <w:t>Python</w:t>
      </w:r>
      <w:r w:rsidRPr="00EE7B4F">
        <w:rPr>
          <w:rFonts w:ascii="Arial" w:hAnsi="Arial" w:cs="Arial"/>
          <w:sz w:val="24"/>
          <w:szCs w:val="24"/>
          <w:lang w:val="es-MX"/>
        </w:rPr>
        <w:t xml:space="preserve"> ya que es el más recomendado para programar encima de la plataforma </w:t>
      </w:r>
      <w:r w:rsidRPr="00EE7B4F">
        <w:rPr>
          <w:rFonts w:ascii="Arial" w:hAnsi="Arial" w:cs="Arial"/>
          <w:i/>
          <w:sz w:val="24"/>
          <w:szCs w:val="24"/>
          <w:lang w:val="es-MX"/>
        </w:rPr>
        <w:t>Democracy OS.</w:t>
      </w:r>
      <w:r w:rsidR="001C0CAA" w:rsidRPr="00EE7B4F">
        <w:rPr>
          <w:rFonts w:ascii="Arial" w:hAnsi="Arial" w:cs="Arial"/>
          <w:i/>
          <w:sz w:val="24"/>
          <w:szCs w:val="24"/>
          <w:lang w:val="es-MX"/>
        </w:rPr>
        <w:t xml:space="preserve"> </w:t>
      </w:r>
    </w:p>
    <w:p w:rsidR="00EE7B4F" w:rsidRPr="00EE7B4F" w:rsidRDefault="001C0CAA" w:rsidP="00EE7B4F">
      <w:pPr>
        <w:spacing w:line="360" w:lineRule="auto"/>
        <w:jc w:val="both"/>
        <w:rPr>
          <w:rFonts w:ascii="Arial" w:hAnsi="Arial" w:cs="Arial"/>
          <w:sz w:val="24"/>
          <w:szCs w:val="24"/>
          <w:lang w:val="es-MX"/>
        </w:rPr>
      </w:pPr>
      <w:r w:rsidRPr="00EE7B4F">
        <w:rPr>
          <w:rFonts w:ascii="Arial" w:hAnsi="Arial" w:cs="Arial"/>
          <w:sz w:val="24"/>
          <w:szCs w:val="24"/>
          <w:lang w:val="es-MX"/>
        </w:rPr>
        <w:t>Por tanto, se recomienda la capacitación del personal del Senado de la República competente para dichos efectos para poder realizar las modificaciones pertinentes a la plataforma para maximizar su utilidad.</w:t>
      </w:r>
    </w:p>
    <w:sectPr w:rsidR="00EE7B4F" w:rsidRPr="00EE7B4F" w:rsidSect="00404CF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3A" w:rsidRDefault="00DD173A" w:rsidP="00A41D33">
      <w:pPr>
        <w:spacing w:after="0" w:line="240" w:lineRule="auto"/>
      </w:pPr>
      <w:r>
        <w:separator/>
      </w:r>
    </w:p>
  </w:endnote>
  <w:endnote w:type="continuationSeparator" w:id="0">
    <w:p w:rsidR="00DD173A" w:rsidRDefault="00DD173A" w:rsidP="00A4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08561782"/>
      <w:docPartObj>
        <w:docPartGallery w:val="Page Numbers (Bottom of Page)"/>
        <w:docPartUnique/>
      </w:docPartObj>
    </w:sdtPr>
    <w:sdtContent>
      <w:sdt>
        <w:sdtPr>
          <w:rPr>
            <w:rFonts w:ascii="Arial" w:hAnsi="Arial" w:cs="Arial"/>
          </w:rPr>
          <w:id w:val="216747541"/>
          <w:docPartObj>
            <w:docPartGallery w:val="Page Numbers (Top of Page)"/>
            <w:docPartUnique/>
          </w:docPartObj>
        </w:sdtPr>
        <w:sdtContent>
          <w:p w:rsidR="00C34222" w:rsidRPr="00C34222" w:rsidRDefault="00C34222">
            <w:pPr>
              <w:pStyle w:val="Piedepgina"/>
              <w:jc w:val="center"/>
              <w:rPr>
                <w:rFonts w:ascii="Arial" w:hAnsi="Arial" w:cs="Arial"/>
              </w:rPr>
            </w:pPr>
            <w:r w:rsidRPr="00C34222">
              <w:rPr>
                <w:rFonts w:ascii="Arial" w:hAnsi="Arial" w:cs="Arial"/>
              </w:rPr>
              <w:t xml:space="preserve">Página </w:t>
            </w:r>
            <w:r w:rsidR="00D27A19" w:rsidRPr="00C34222">
              <w:rPr>
                <w:rFonts w:ascii="Arial" w:hAnsi="Arial" w:cs="Arial"/>
                <w:b/>
              </w:rPr>
              <w:fldChar w:fldCharType="begin"/>
            </w:r>
            <w:r w:rsidRPr="00C34222">
              <w:rPr>
                <w:rFonts w:ascii="Arial" w:hAnsi="Arial" w:cs="Arial"/>
                <w:b/>
              </w:rPr>
              <w:instrText>PAGE</w:instrText>
            </w:r>
            <w:r w:rsidR="00D27A19" w:rsidRPr="00C34222">
              <w:rPr>
                <w:rFonts w:ascii="Arial" w:hAnsi="Arial" w:cs="Arial"/>
                <w:b/>
              </w:rPr>
              <w:fldChar w:fldCharType="separate"/>
            </w:r>
            <w:r w:rsidR="00251088">
              <w:rPr>
                <w:rFonts w:ascii="Arial" w:hAnsi="Arial" w:cs="Arial"/>
                <w:b/>
                <w:noProof/>
              </w:rPr>
              <w:t>1</w:t>
            </w:r>
            <w:r w:rsidR="00D27A19" w:rsidRPr="00C34222">
              <w:rPr>
                <w:rFonts w:ascii="Arial" w:hAnsi="Arial" w:cs="Arial"/>
                <w:b/>
              </w:rPr>
              <w:fldChar w:fldCharType="end"/>
            </w:r>
            <w:r w:rsidRPr="00C34222">
              <w:rPr>
                <w:rFonts w:ascii="Arial" w:hAnsi="Arial" w:cs="Arial"/>
              </w:rPr>
              <w:t xml:space="preserve"> de </w:t>
            </w:r>
            <w:r w:rsidR="00D27A19" w:rsidRPr="00C34222">
              <w:rPr>
                <w:rFonts w:ascii="Arial" w:hAnsi="Arial" w:cs="Arial"/>
                <w:b/>
              </w:rPr>
              <w:fldChar w:fldCharType="begin"/>
            </w:r>
            <w:r w:rsidRPr="00C34222">
              <w:rPr>
                <w:rFonts w:ascii="Arial" w:hAnsi="Arial" w:cs="Arial"/>
                <w:b/>
              </w:rPr>
              <w:instrText>NUMPAGES</w:instrText>
            </w:r>
            <w:r w:rsidR="00D27A19" w:rsidRPr="00C34222">
              <w:rPr>
                <w:rFonts w:ascii="Arial" w:hAnsi="Arial" w:cs="Arial"/>
                <w:b/>
              </w:rPr>
              <w:fldChar w:fldCharType="separate"/>
            </w:r>
            <w:r w:rsidR="00251088">
              <w:rPr>
                <w:rFonts w:ascii="Arial" w:hAnsi="Arial" w:cs="Arial"/>
                <w:b/>
                <w:noProof/>
              </w:rPr>
              <w:t>5</w:t>
            </w:r>
            <w:r w:rsidR="00D27A19" w:rsidRPr="00C34222">
              <w:rPr>
                <w:rFonts w:ascii="Arial" w:hAnsi="Arial" w:cs="Arial"/>
                <w:b/>
              </w:rPr>
              <w:fldChar w:fldCharType="end"/>
            </w:r>
          </w:p>
        </w:sdtContent>
      </w:sdt>
    </w:sdtContent>
  </w:sdt>
  <w:p w:rsidR="00C34222" w:rsidRDefault="00C342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3A" w:rsidRDefault="00DD173A" w:rsidP="00A41D33">
      <w:pPr>
        <w:spacing w:after="0" w:line="240" w:lineRule="auto"/>
      </w:pPr>
      <w:r>
        <w:separator/>
      </w:r>
    </w:p>
  </w:footnote>
  <w:footnote w:type="continuationSeparator" w:id="0">
    <w:p w:rsidR="00DD173A" w:rsidRDefault="00DD173A" w:rsidP="00A41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9A" w:rsidRDefault="0005709A" w:rsidP="00A41D33">
    <w:pPr>
      <w:pStyle w:val="Encabezado"/>
      <w:jc w:val="center"/>
    </w:pPr>
    <w:r w:rsidRPr="00A41D33">
      <w:rPr>
        <w:noProof/>
        <w:lang w:eastAsia="es-MX"/>
      </w:rPr>
      <w:drawing>
        <wp:anchor distT="0" distB="0" distL="114300" distR="114300" simplePos="0" relativeHeight="251659264" behindDoc="0" locked="0" layoutInCell="1" allowOverlap="1">
          <wp:simplePos x="0" y="0"/>
          <wp:positionH relativeFrom="column">
            <wp:posOffset>-369322</wp:posOffset>
          </wp:positionH>
          <wp:positionV relativeFrom="paragraph">
            <wp:posOffset>-147431</wp:posOffset>
          </wp:positionV>
          <wp:extent cx="903302" cy="914400"/>
          <wp:effectExtent l="19050" t="0" r="0" b="0"/>
          <wp:wrapNone/>
          <wp:docPr id="2"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srcRect/>
                  <a:stretch>
                    <a:fillRect/>
                  </a:stretch>
                </pic:blipFill>
                <pic:spPr bwMode="auto">
                  <a:xfrm>
                    <a:off x="0" y="0"/>
                    <a:ext cx="903302" cy="914400"/>
                  </a:xfrm>
                  <a:prstGeom prst="rect">
                    <a:avLst/>
                  </a:prstGeom>
                  <a:noFill/>
                  <a:ln w="9525">
                    <a:noFill/>
                    <a:miter lim="800000"/>
                    <a:headEnd/>
                    <a:tailEnd/>
                  </a:ln>
                </pic:spPr>
              </pic:pic>
            </a:graphicData>
          </a:graphic>
        </wp:anchor>
      </w:drawing>
    </w:r>
  </w:p>
  <w:p w:rsidR="0005709A" w:rsidRDefault="0005709A" w:rsidP="00A41D33">
    <w:pPr>
      <w:jc w:val="center"/>
      <w:rPr>
        <w:b/>
        <w:smallCaps/>
        <w:sz w:val="36"/>
      </w:rPr>
    </w:pPr>
    <w:r>
      <w:rPr>
        <w:b/>
        <w:smallCaps/>
        <w:sz w:val="36"/>
      </w:rPr>
      <w:t xml:space="preserve">            </w:t>
    </w:r>
    <w:r w:rsidRPr="009A7995">
      <w:rPr>
        <w:b/>
        <w:smallCaps/>
        <w:sz w:val="36"/>
      </w:rPr>
      <w:t xml:space="preserve">Comité de Garantía de Acceso y Transparencia de la </w:t>
    </w:r>
    <w:r>
      <w:rPr>
        <w:b/>
        <w:smallCaps/>
        <w:sz w:val="36"/>
      </w:rPr>
      <w:t xml:space="preserve">            </w:t>
    </w:r>
    <w:r w:rsidRPr="009A7995">
      <w:rPr>
        <w:b/>
        <w:smallCaps/>
        <w:sz w:val="36"/>
      </w:rPr>
      <w:t>Información</w:t>
    </w:r>
  </w:p>
  <w:p w:rsidR="0005709A" w:rsidRDefault="0005709A" w:rsidP="002C3C22">
    <w:pPr>
      <w:pStyle w:val="Encabezado"/>
      <w:spacing w:line="360" w:lineRule="aut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41D33"/>
    <w:rsid w:val="00043B8F"/>
    <w:rsid w:val="0005680C"/>
    <w:rsid w:val="0005709A"/>
    <w:rsid w:val="000A6922"/>
    <w:rsid w:val="001428FA"/>
    <w:rsid w:val="0018604D"/>
    <w:rsid w:val="001C0CAA"/>
    <w:rsid w:val="001D79CE"/>
    <w:rsid w:val="00251088"/>
    <w:rsid w:val="00274E99"/>
    <w:rsid w:val="002C3C22"/>
    <w:rsid w:val="002F58E8"/>
    <w:rsid w:val="00404CFD"/>
    <w:rsid w:val="0045110E"/>
    <w:rsid w:val="00475C9D"/>
    <w:rsid w:val="006325D1"/>
    <w:rsid w:val="00633986"/>
    <w:rsid w:val="00662DC7"/>
    <w:rsid w:val="006E4ED7"/>
    <w:rsid w:val="00770DD6"/>
    <w:rsid w:val="00826A54"/>
    <w:rsid w:val="008F3FA2"/>
    <w:rsid w:val="008F4BB2"/>
    <w:rsid w:val="00A35C56"/>
    <w:rsid w:val="00A41D33"/>
    <w:rsid w:val="00A77629"/>
    <w:rsid w:val="00A906C5"/>
    <w:rsid w:val="00AD4212"/>
    <w:rsid w:val="00B4252F"/>
    <w:rsid w:val="00B53082"/>
    <w:rsid w:val="00BC46B1"/>
    <w:rsid w:val="00C34222"/>
    <w:rsid w:val="00D27A19"/>
    <w:rsid w:val="00D81D20"/>
    <w:rsid w:val="00DC0045"/>
    <w:rsid w:val="00DD173A"/>
    <w:rsid w:val="00E24F02"/>
    <w:rsid w:val="00E80BC1"/>
    <w:rsid w:val="00E975B5"/>
    <w:rsid w:val="00EE28CE"/>
    <w:rsid w:val="00EE7B4F"/>
    <w:rsid w:val="00F70440"/>
    <w:rsid w:val="00FF68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33"/>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D33"/>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A41D33"/>
  </w:style>
  <w:style w:type="paragraph" w:styleId="Piedepgina">
    <w:name w:val="footer"/>
    <w:basedOn w:val="Normal"/>
    <w:link w:val="PiedepginaCar"/>
    <w:uiPriority w:val="99"/>
    <w:unhideWhenUsed/>
    <w:rsid w:val="00A41D33"/>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A41D33"/>
  </w:style>
  <w:style w:type="paragraph" w:styleId="Textodeglobo">
    <w:name w:val="Balloon Text"/>
    <w:basedOn w:val="Normal"/>
    <w:link w:val="TextodegloboCar"/>
    <w:uiPriority w:val="99"/>
    <w:semiHidden/>
    <w:unhideWhenUsed/>
    <w:rsid w:val="00A41D33"/>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A41D33"/>
    <w:rPr>
      <w:rFonts w:ascii="Tahoma" w:hAnsi="Tahoma" w:cs="Tahoma"/>
      <w:sz w:val="16"/>
      <w:szCs w:val="16"/>
    </w:rPr>
  </w:style>
  <w:style w:type="character" w:styleId="Textoennegrita">
    <w:name w:val="Strong"/>
    <w:basedOn w:val="Fuentedeprrafopredeter"/>
    <w:uiPriority w:val="22"/>
    <w:qFormat/>
    <w:rsid w:val="00633986"/>
    <w:rPr>
      <w:b/>
      <w:bCs/>
    </w:rPr>
  </w:style>
  <w:style w:type="character" w:customStyle="1" w:styleId="apple-converted-space">
    <w:name w:val="apple-converted-space"/>
    <w:basedOn w:val="Fuentedeprrafopredeter"/>
    <w:rsid w:val="00633986"/>
  </w:style>
  <w:style w:type="table" w:styleId="Tablaconcuadrcula">
    <w:name w:val="Table Grid"/>
    <w:basedOn w:val="Tablanormal"/>
    <w:uiPriority w:val="59"/>
    <w:rsid w:val="00F70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33"/>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D33"/>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A41D33"/>
  </w:style>
  <w:style w:type="paragraph" w:styleId="Piedepgina">
    <w:name w:val="footer"/>
    <w:basedOn w:val="Normal"/>
    <w:link w:val="PiedepginaCar"/>
    <w:uiPriority w:val="99"/>
    <w:unhideWhenUsed/>
    <w:rsid w:val="00A41D33"/>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A41D33"/>
  </w:style>
  <w:style w:type="paragraph" w:styleId="Textodeglobo">
    <w:name w:val="Balloon Text"/>
    <w:basedOn w:val="Normal"/>
    <w:link w:val="TextodegloboCar"/>
    <w:uiPriority w:val="99"/>
    <w:semiHidden/>
    <w:unhideWhenUsed/>
    <w:rsid w:val="00A41D33"/>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A41D33"/>
    <w:rPr>
      <w:rFonts w:ascii="Tahoma" w:hAnsi="Tahoma" w:cs="Tahoma"/>
      <w:sz w:val="16"/>
      <w:szCs w:val="16"/>
    </w:rPr>
  </w:style>
  <w:style w:type="character" w:styleId="Textoennegrita">
    <w:name w:val="Strong"/>
    <w:basedOn w:val="Fuentedeprrafopredeter"/>
    <w:uiPriority w:val="22"/>
    <w:qFormat/>
    <w:rsid w:val="00633986"/>
    <w:rPr>
      <w:b/>
      <w:bCs/>
    </w:rPr>
  </w:style>
  <w:style w:type="character" w:customStyle="1" w:styleId="apple-converted-space">
    <w:name w:val="apple-converted-space"/>
    <w:basedOn w:val="Fuentedeprrafopredeter"/>
    <w:rsid w:val="00633986"/>
  </w:style>
  <w:style w:type="table" w:styleId="Tablaconcuadrcula">
    <w:name w:val="Table Grid"/>
    <w:basedOn w:val="Tablanormal"/>
    <w:uiPriority w:val="59"/>
    <w:rsid w:val="00F7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Rubio</dc:creator>
  <cp:lastModifiedBy>COGATI</cp:lastModifiedBy>
  <cp:revision>5</cp:revision>
  <cp:lastPrinted>2014-09-10T15:30:00Z</cp:lastPrinted>
  <dcterms:created xsi:type="dcterms:W3CDTF">2014-09-09T19:09:00Z</dcterms:created>
  <dcterms:modified xsi:type="dcterms:W3CDTF">2014-09-10T15:30:00Z</dcterms:modified>
</cp:coreProperties>
</file>