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00" w:rsidRPr="00C35E7E" w:rsidRDefault="003F0623" w:rsidP="003F0623">
      <w:pPr>
        <w:jc w:val="both"/>
        <w:rPr>
          <w:rFonts w:asciiTheme="majorHAnsi" w:hAnsiTheme="majorHAnsi"/>
          <w:b/>
        </w:rPr>
      </w:pPr>
      <w:r w:rsidRPr="00C35E7E">
        <w:rPr>
          <w:rFonts w:asciiTheme="majorHAnsi" w:hAnsiTheme="majorHAnsi"/>
          <w:b/>
        </w:rPr>
        <w:t>ACUERDO DEL COMITÉ DE GARANTÍA DE ACCESO Y TRANSP</w:t>
      </w:r>
      <w:r w:rsidR="00466747">
        <w:rPr>
          <w:rFonts w:asciiTheme="majorHAnsi" w:hAnsiTheme="majorHAnsi"/>
          <w:b/>
        </w:rPr>
        <w:t>ARENCIA DE LA INFORMACIÓN POR EL</w:t>
      </w:r>
      <w:r w:rsidRPr="00C35E7E">
        <w:rPr>
          <w:rFonts w:asciiTheme="majorHAnsi" w:hAnsiTheme="majorHAnsi"/>
          <w:b/>
        </w:rPr>
        <w:t xml:space="preserve"> QUE SE </w:t>
      </w:r>
      <w:r w:rsidR="00F6797A">
        <w:rPr>
          <w:rFonts w:asciiTheme="majorHAnsi" w:hAnsiTheme="majorHAnsi"/>
          <w:b/>
        </w:rPr>
        <w:t xml:space="preserve">EMITEN RECOMENDACIONES A LA SECRETARÍA GENERAL DE SERVICIOS PARLAMENTARIOS Y A LA SECRETARÍA GENERAL DE SERVICIOS ADMINISTRATIVOS </w:t>
      </w:r>
      <w:r w:rsidR="00466747">
        <w:rPr>
          <w:rFonts w:asciiTheme="majorHAnsi" w:hAnsiTheme="majorHAnsi"/>
          <w:b/>
        </w:rPr>
        <w:t>P</w:t>
      </w:r>
      <w:r w:rsidR="008A6C02">
        <w:rPr>
          <w:rFonts w:asciiTheme="majorHAnsi" w:hAnsiTheme="majorHAnsi"/>
          <w:b/>
        </w:rPr>
        <w:t>ARA GARANTIZAR LA TRANSPARENCIA</w:t>
      </w:r>
      <w:r w:rsidR="00E61A8C">
        <w:rPr>
          <w:rFonts w:asciiTheme="majorHAnsi" w:hAnsiTheme="majorHAnsi"/>
          <w:b/>
        </w:rPr>
        <w:t xml:space="preserve"> </w:t>
      </w:r>
      <w:r w:rsidR="008A6C02">
        <w:rPr>
          <w:rFonts w:asciiTheme="majorHAnsi" w:hAnsiTheme="majorHAnsi"/>
          <w:b/>
        </w:rPr>
        <w:t>Y EL ACCESO A LA INFORMACIÓN CON QUE CUENTA</w:t>
      </w:r>
      <w:r w:rsidR="0072777F">
        <w:rPr>
          <w:rFonts w:asciiTheme="majorHAnsi" w:hAnsiTheme="majorHAnsi"/>
          <w:b/>
        </w:rPr>
        <w:t xml:space="preserve"> EL SENADO DE LA REPÚBLICA</w:t>
      </w:r>
      <w:r w:rsidR="00466747">
        <w:rPr>
          <w:rFonts w:asciiTheme="majorHAnsi" w:hAnsiTheme="majorHAnsi"/>
          <w:b/>
        </w:rPr>
        <w:t xml:space="preserve">. </w:t>
      </w:r>
    </w:p>
    <w:p w:rsidR="003F0623" w:rsidRPr="00C35E7E" w:rsidRDefault="003F0623" w:rsidP="00581300">
      <w:pPr>
        <w:rPr>
          <w:rFonts w:asciiTheme="majorHAnsi" w:hAnsiTheme="majorHAnsi"/>
        </w:rPr>
      </w:pPr>
    </w:p>
    <w:p w:rsidR="00581300" w:rsidRPr="00C35E7E" w:rsidRDefault="00581300" w:rsidP="00F16001">
      <w:pPr>
        <w:jc w:val="both"/>
        <w:rPr>
          <w:rFonts w:asciiTheme="majorHAnsi" w:hAnsiTheme="majorHAnsi"/>
          <w:lang w:val="es-MX"/>
        </w:rPr>
      </w:pPr>
      <w:r w:rsidRPr="00130419">
        <w:rPr>
          <w:rFonts w:asciiTheme="majorHAnsi" w:hAnsiTheme="majorHAnsi"/>
        </w:rPr>
        <w:t xml:space="preserve">Con fundamento en lo dispuesto por </w:t>
      </w:r>
      <w:r w:rsidR="00C64C18" w:rsidRPr="00130419">
        <w:rPr>
          <w:rFonts w:asciiTheme="majorHAnsi" w:hAnsiTheme="majorHAnsi"/>
        </w:rPr>
        <w:t>el artículo 295</w:t>
      </w:r>
      <w:r w:rsidRPr="00130419">
        <w:rPr>
          <w:rFonts w:asciiTheme="majorHAnsi" w:hAnsiTheme="majorHAnsi"/>
        </w:rPr>
        <w:t xml:space="preserve"> del Reglamento </w:t>
      </w:r>
      <w:r w:rsidR="00C64C18" w:rsidRPr="00130419">
        <w:rPr>
          <w:rFonts w:asciiTheme="majorHAnsi" w:hAnsiTheme="majorHAnsi"/>
        </w:rPr>
        <w:t>del Senado de la República</w:t>
      </w:r>
      <w:r w:rsidR="00F16001" w:rsidRPr="00130419">
        <w:rPr>
          <w:rFonts w:asciiTheme="majorHAnsi" w:hAnsiTheme="majorHAnsi"/>
        </w:rPr>
        <w:t xml:space="preserve"> y</w:t>
      </w:r>
      <w:r w:rsidRPr="00130419">
        <w:rPr>
          <w:rFonts w:asciiTheme="majorHAnsi" w:hAnsiTheme="majorHAnsi"/>
        </w:rPr>
        <w:t xml:space="preserve"> el </w:t>
      </w:r>
      <w:r w:rsidR="00C64C18" w:rsidRPr="00130419">
        <w:rPr>
          <w:rFonts w:asciiTheme="majorHAnsi" w:hAnsiTheme="majorHAnsi"/>
          <w:lang w:val="es-MX"/>
        </w:rPr>
        <w:t>Acuerdo Parlamentario para la Aplicación de la L</w:t>
      </w:r>
      <w:r w:rsidR="00D24E9F" w:rsidRPr="00130419">
        <w:rPr>
          <w:rFonts w:asciiTheme="majorHAnsi" w:hAnsiTheme="majorHAnsi"/>
          <w:lang w:val="es-MX"/>
        </w:rPr>
        <w:t xml:space="preserve">ey </w:t>
      </w:r>
      <w:r w:rsidR="00C64C18" w:rsidRPr="00130419">
        <w:rPr>
          <w:rFonts w:asciiTheme="majorHAnsi" w:hAnsiTheme="majorHAnsi"/>
          <w:lang w:val="es-MX"/>
        </w:rPr>
        <w:t>F</w:t>
      </w:r>
      <w:r w:rsidR="00D24E9F" w:rsidRPr="00130419">
        <w:rPr>
          <w:rFonts w:asciiTheme="majorHAnsi" w:hAnsiTheme="majorHAnsi"/>
          <w:lang w:val="es-MX"/>
        </w:rPr>
        <w:t xml:space="preserve">ederal de </w:t>
      </w:r>
      <w:r w:rsidR="00C64C18" w:rsidRPr="00130419">
        <w:rPr>
          <w:rFonts w:asciiTheme="majorHAnsi" w:hAnsiTheme="majorHAnsi"/>
          <w:lang w:val="es-MX"/>
        </w:rPr>
        <w:t>T</w:t>
      </w:r>
      <w:r w:rsidR="00D24E9F" w:rsidRPr="00130419">
        <w:rPr>
          <w:rFonts w:asciiTheme="majorHAnsi" w:hAnsiTheme="majorHAnsi"/>
          <w:lang w:val="es-MX"/>
        </w:rPr>
        <w:t xml:space="preserve">ransparencia y </w:t>
      </w:r>
      <w:r w:rsidR="00C64C18" w:rsidRPr="00130419">
        <w:rPr>
          <w:rFonts w:asciiTheme="majorHAnsi" w:hAnsiTheme="majorHAnsi"/>
          <w:lang w:val="es-MX"/>
        </w:rPr>
        <w:t>A</w:t>
      </w:r>
      <w:r w:rsidR="00D24E9F" w:rsidRPr="00130419">
        <w:rPr>
          <w:rFonts w:asciiTheme="majorHAnsi" w:hAnsiTheme="majorHAnsi"/>
          <w:lang w:val="es-MX"/>
        </w:rPr>
        <w:t xml:space="preserve">cceso a la </w:t>
      </w:r>
      <w:r w:rsidR="00C64C18" w:rsidRPr="00130419">
        <w:rPr>
          <w:rFonts w:asciiTheme="majorHAnsi" w:hAnsiTheme="majorHAnsi"/>
          <w:lang w:val="es-MX"/>
        </w:rPr>
        <w:t>I</w:t>
      </w:r>
      <w:r w:rsidR="00D24E9F" w:rsidRPr="00130419">
        <w:rPr>
          <w:rFonts w:asciiTheme="majorHAnsi" w:hAnsiTheme="majorHAnsi"/>
          <w:lang w:val="es-MX"/>
        </w:rPr>
        <w:t xml:space="preserve">nformación </w:t>
      </w:r>
      <w:r w:rsidR="00C64C18" w:rsidRPr="00130419">
        <w:rPr>
          <w:rFonts w:asciiTheme="majorHAnsi" w:hAnsiTheme="majorHAnsi"/>
          <w:lang w:val="es-MX"/>
        </w:rPr>
        <w:t>P</w:t>
      </w:r>
      <w:r w:rsidR="00D24E9F" w:rsidRPr="00130419">
        <w:rPr>
          <w:rFonts w:asciiTheme="majorHAnsi" w:hAnsiTheme="majorHAnsi"/>
          <w:lang w:val="es-MX"/>
        </w:rPr>
        <w:t xml:space="preserve">ública </w:t>
      </w:r>
      <w:r w:rsidR="00C64C18" w:rsidRPr="00130419">
        <w:rPr>
          <w:rFonts w:asciiTheme="majorHAnsi" w:hAnsiTheme="majorHAnsi"/>
          <w:lang w:val="es-MX"/>
        </w:rPr>
        <w:t>G</w:t>
      </w:r>
      <w:r w:rsidR="00D24E9F" w:rsidRPr="00130419">
        <w:rPr>
          <w:rFonts w:asciiTheme="majorHAnsi" w:hAnsiTheme="majorHAnsi"/>
          <w:lang w:val="es-MX"/>
        </w:rPr>
        <w:t>ubernamental</w:t>
      </w:r>
      <w:r w:rsidR="00C64C18" w:rsidRPr="00130419">
        <w:rPr>
          <w:rFonts w:asciiTheme="majorHAnsi" w:hAnsiTheme="majorHAnsi"/>
          <w:lang w:val="es-MX"/>
        </w:rPr>
        <w:t xml:space="preserve"> en la Cámara de Senadores</w:t>
      </w:r>
      <w:r w:rsidR="00561294" w:rsidRPr="00130419">
        <w:rPr>
          <w:rFonts w:asciiTheme="majorHAnsi" w:hAnsiTheme="majorHAnsi"/>
          <w:lang w:val="es-MX"/>
        </w:rPr>
        <w:t>,</w:t>
      </w:r>
      <w:r w:rsidR="00C64C18" w:rsidRPr="00130419">
        <w:rPr>
          <w:rFonts w:asciiTheme="majorHAnsi" w:hAnsiTheme="majorHAnsi"/>
          <w:lang w:val="es-MX"/>
        </w:rPr>
        <w:t xml:space="preserve"> </w:t>
      </w:r>
      <w:r w:rsidRPr="00130419">
        <w:rPr>
          <w:rFonts w:asciiTheme="majorHAnsi" w:hAnsiTheme="majorHAnsi"/>
        </w:rPr>
        <w:t>y</w:t>
      </w:r>
    </w:p>
    <w:p w:rsidR="00C64C18" w:rsidRPr="00C35E7E" w:rsidRDefault="00C64C18" w:rsidP="00F16001">
      <w:pPr>
        <w:jc w:val="both"/>
        <w:rPr>
          <w:rFonts w:asciiTheme="majorHAnsi" w:hAnsiTheme="majorHAnsi"/>
        </w:rPr>
      </w:pPr>
    </w:p>
    <w:p w:rsidR="00581300" w:rsidRPr="00C35E7E" w:rsidRDefault="00581300" w:rsidP="00D24E9F">
      <w:pPr>
        <w:jc w:val="center"/>
        <w:rPr>
          <w:rFonts w:asciiTheme="majorHAnsi" w:hAnsiTheme="majorHAnsi"/>
          <w:b/>
        </w:rPr>
      </w:pPr>
      <w:r w:rsidRPr="00C35E7E">
        <w:rPr>
          <w:rFonts w:asciiTheme="majorHAnsi" w:hAnsiTheme="majorHAnsi"/>
          <w:b/>
        </w:rPr>
        <w:t>CONSIDERANDO</w:t>
      </w:r>
    </w:p>
    <w:p w:rsidR="003F0623" w:rsidRPr="00C35E7E" w:rsidRDefault="003F0623" w:rsidP="003F0623">
      <w:pPr>
        <w:jc w:val="both"/>
        <w:rPr>
          <w:rFonts w:asciiTheme="majorHAnsi" w:hAnsiTheme="majorHAnsi"/>
        </w:rPr>
      </w:pPr>
    </w:p>
    <w:p w:rsidR="004D0523" w:rsidRDefault="004D0523" w:rsidP="004D0523">
      <w:pPr>
        <w:jc w:val="both"/>
        <w:rPr>
          <w:rFonts w:asciiTheme="majorHAnsi" w:hAnsiTheme="majorHAnsi"/>
        </w:rPr>
      </w:pPr>
      <w:r>
        <w:rPr>
          <w:rFonts w:asciiTheme="majorHAnsi" w:hAnsiTheme="majorHAnsi"/>
        </w:rPr>
        <w:t xml:space="preserve">Que de conformidad con el </w:t>
      </w:r>
      <w:r w:rsidRPr="004D0523">
        <w:rPr>
          <w:rFonts w:asciiTheme="majorHAnsi" w:hAnsiTheme="majorHAnsi"/>
          <w:lang w:val="es-MX"/>
        </w:rPr>
        <w:t>Acuerdo Parlamentario para la Aplicación de la Ley Federal de Transparencia y Acceso a la Información Pública Gubernamental en la Cámara de Senadores</w:t>
      </w:r>
      <w:r w:rsidR="00130419">
        <w:rPr>
          <w:rFonts w:asciiTheme="majorHAnsi" w:hAnsiTheme="majorHAnsi"/>
          <w:lang w:val="es-MX"/>
        </w:rPr>
        <w:t>,</w:t>
      </w:r>
      <w:r>
        <w:rPr>
          <w:rFonts w:asciiTheme="majorHAnsi" w:hAnsiTheme="majorHAnsi"/>
          <w:lang w:val="es-MX"/>
        </w:rPr>
        <w:t xml:space="preserve"> el COGATI </w:t>
      </w:r>
      <w:r w:rsidRPr="004D0523">
        <w:rPr>
          <w:rFonts w:asciiTheme="majorHAnsi" w:hAnsiTheme="majorHAnsi"/>
        </w:rPr>
        <w:t>es el órgano garante, especializado e imparcial, responsable de coordinar y supervisar el adecuado cumplimiento de la Ley Federal de Transparencia y Acceso a la Información Pública Gubernamental por parte de los Órganos y Unidades Administrativas, Parlamentarias y Técnicas del Senado.</w:t>
      </w:r>
    </w:p>
    <w:p w:rsidR="008A6C02" w:rsidRDefault="008A6C02" w:rsidP="004D0523">
      <w:pPr>
        <w:jc w:val="both"/>
        <w:rPr>
          <w:rFonts w:asciiTheme="majorHAnsi" w:hAnsiTheme="majorHAnsi"/>
        </w:rPr>
      </w:pPr>
    </w:p>
    <w:p w:rsidR="008A6C02" w:rsidRDefault="008A6C02" w:rsidP="004D0523">
      <w:pPr>
        <w:jc w:val="both"/>
        <w:rPr>
          <w:rFonts w:asciiTheme="majorHAnsi" w:hAnsiTheme="majorHAnsi"/>
        </w:rPr>
      </w:pPr>
      <w:r>
        <w:rPr>
          <w:rFonts w:asciiTheme="majorHAnsi" w:hAnsiTheme="majorHAnsi"/>
        </w:rPr>
        <w:t>Que de conformidad con el Acuerdo antes citado, en sus artículos 2, 4 y 17, fracción VI; el COGATI tiene la atribución de hacer recomendaciones a la</w:t>
      </w:r>
      <w:r w:rsidR="00762261">
        <w:rPr>
          <w:rFonts w:asciiTheme="majorHAnsi" w:hAnsiTheme="majorHAnsi"/>
        </w:rPr>
        <w:t>s</w:t>
      </w:r>
      <w:r>
        <w:rPr>
          <w:rFonts w:asciiTheme="majorHAnsi" w:hAnsiTheme="majorHAnsi"/>
        </w:rPr>
        <w:t xml:space="preserve"> Entidades de la Cámara para que se garantice a toda persona el acceso a la información pública, en posesión del Senado, mediante procedimientos sencillos y expeditos, así como de poner a disposición del público, a través de medios remotos o locales de comunicación electrónica dicha información. </w:t>
      </w:r>
    </w:p>
    <w:p w:rsidR="00F6797A" w:rsidRDefault="00F6797A" w:rsidP="00F16001">
      <w:pPr>
        <w:jc w:val="both"/>
        <w:rPr>
          <w:rFonts w:asciiTheme="majorHAnsi" w:hAnsiTheme="majorHAnsi"/>
        </w:rPr>
      </w:pPr>
    </w:p>
    <w:p w:rsidR="00B11CBD" w:rsidRPr="00C35E7E" w:rsidRDefault="00B11CBD" w:rsidP="00F16001">
      <w:pPr>
        <w:jc w:val="both"/>
        <w:rPr>
          <w:rFonts w:asciiTheme="majorHAnsi" w:hAnsiTheme="majorHAnsi"/>
        </w:rPr>
      </w:pPr>
      <w:r w:rsidRPr="00C35E7E">
        <w:rPr>
          <w:rFonts w:asciiTheme="majorHAnsi" w:hAnsiTheme="majorHAnsi"/>
        </w:rPr>
        <w:t>Que el día 29 de noviembre de 2012</w:t>
      </w:r>
      <w:r w:rsidR="00C35E7E" w:rsidRPr="00C35E7E">
        <w:rPr>
          <w:rFonts w:asciiTheme="majorHAnsi" w:hAnsiTheme="majorHAnsi"/>
        </w:rPr>
        <w:t>,</w:t>
      </w:r>
      <w:r w:rsidRPr="00C35E7E">
        <w:rPr>
          <w:rFonts w:asciiTheme="majorHAnsi" w:hAnsiTheme="majorHAnsi"/>
        </w:rPr>
        <w:t xml:space="preserve"> en la Reunión de Instalación del COGATI</w:t>
      </w:r>
      <w:r w:rsidR="00C35E7E" w:rsidRPr="00C35E7E">
        <w:rPr>
          <w:rFonts w:asciiTheme="majorHAnsi" w:hAnsiTheme="majorHAnsi"/>
        </w:rPr>
        <w:t>,</w:t>
      </w:r>
      <w:r w:rsidRPr="00C35E7E">
        <w:rPr>
          <w:rFonts w:asciiTheme="majorHAnsi" w:hAnsiTheme="majorHAnsi"/>
        </w:rPr>
        <w:t xml:space="preserve"> fue aprobado </w:t>
      </w:r>
      <w:r w:rsidR="00C35E7E" w:rsidRPr="00C35E7E">
        <w:rPr>
          <w:rFonts w:asciiTheme="majorHAnsi" w:hAnsiTheme="majorHAnsi"/>
        </w:rPr>
        <w:t>por unanimidad de los presentes</w:t>
      </w:r>
      <w:r w:rsidR="00C35E7E">
        <w:rPr>
          <w:rFonts w:asciiTheme="majorHAnsi" w:hAnsiTheme="majorHAnsi"/>
        </w:rPr>
        <w:t>,</w:t>
      </w:r>
      <w:r w:rsidR="00C35E7E" w:rsidRPr="00C35E7E">
        <w:rPr>
          <w:rFonts w:asciiTheme="majorHAnsi" w:hAnsiTheme="majorHAnsi"/>
        </w:rPr>
        <w:t xml:space="preserve"> </w:t>
      </w:r>
      <w:r w:rsidRPr="00C35E7E">
        <w:rPr>
          <w:rFonts w:asciiTheme="majorHAnsi" w:hAnsiTheme="majorHAnsi"/>
        </w:rPr>
        <w:t>el Plan de Trabajo</w:t>
      </w:r>
      <w:r w:rsidR="00313979">
        <w:rPr>
          <w:rFonts w:asciiTheme="majorHAnsi" w:hAnsiTheme="majorHAnsi"/>
        </w:rPr>
        <w:t xml:space="preserve"> Anual</w:t>
      </w:r>
      <w:r w:rsidRPr="00C35E7E">
        <w:rPr>
          <w:rFonts w:asciiTheme="majorHAnsi" w:hAnsiTheme="majorHAnsi"/>
        </w:rPr>
        <w:t xml:space="preserve"> que</w:t>
      </w:r>
      <w:r w:rsidR="00C55BC5">
        <w:rPr>
          <w:rFonts w:asciiTheme="majorHAnsi" w:hAnsiTheme="majorHAnsi"/>
        </w:rPr>
        <w:t>,</w:t>
      </w:r>
      <w:r w:rsidRPr="00C35E7E">
        <w:rPr>
          <w:rFonts w:asciiTheme="majorHAnsi" w:hAnsiTheme="majorHAnsi"/>
        </w:rPr>
        <w:t xml:space="preserve"> entre otras cosas señala</w:t>
      </w:r>
      <w:r w:rsidR="00C35E7E" w:rsidRPr="00C35E7E">
        <w:rPr>
          <w:rFonts w:asciiTheme="majorHAnsi" w:hAnsiTheme="majorHAnsi"/>
        </w:rPr>
        <w:t xml:space="preserve"> las líneas generales de acción, a saber:</w:t>
      </w:r>
    </w:p>
    <w:p w:rsidR="00C35E7E" w:rsidRPr="00C35E7E" w:rsidRDefault="009718BC" w:rsidP="00F16001">
      <w:pPr>
        <w:jc w:val="both"/>
        <w:rPr>
          <w:rFonts w:asciiTheme="majorHAnsi" w:hAnsiTheme="majorHAnsi"/>
        </w:rPr>
      </w:pPr>
      <w:r>
        <w:rPr>
          <w:rFonts w:asciiTheme="majorHAnsi" w:hAnsiTheme="majorHAnsi"/>
        </w:rPr>
        <w:tab/>
        <w:t>…</w:t>
      </w:r>
    </w:p>
    <w:p w:rsidR="00E02708" w:rsidRPr="00E02708" w:rsidRDefault="00E02708" w:rsidP="00E02708">
      <w:pPr>
        <w:ind w:left="708"/>
        <w:jc w:val="both"/>
        <w:rPr>
          <w:i/>
          <w:iCs/>
          <w:color w:val="000000" w:themeColor="text1"/>
          <w:lang w:val="es-ES" w:eastAsia="en-US"/>
        </w:rPr>
      </w:pPr>
      <w:r w:rsidRPr="00E02708">
        <w:rPr>
          <w:i/>
          <w:iCs/>
          <w:color w:val="000000" w:themeColor="text1"/>
          <w:lang w:val="es-ES" w:eastAsia="en-US"/>
        </w:rPr>
        <w:t>c.</w:t>
      </w:r>
      <w:r w:rsidRPr="00E02708">
        <w:rPr>
          <w:i/>
          <w:iCs/>
          <w:color w:val="000000" w:themeColor="text1"/>
          <w:lang w:val="es-ES" w:eastAsia="en-US"/>
        </w:rPr>
        <w:tab/>
        <w:t>Accesibilidad de la información</w:t>
      </w:r>
    </w:p>
    <w:p w:rsidR="00E02708" w:rsidRPr="00E02708" w:rsidRDefault="00E02708" w:rsidP="00E02708">
      <w:pPr>
        <w:ind w:left="708"/>
        <w:jc w:val="both"/>
        <w:rPr>
          <w:i/>
          <w:iCs/>
          <w:color w:val="000000" w:themeColor="text1"/>
          <w:lang w:val="es-ES" w:eastAsia="en-US"/>
        </w:rPr>
      </w:pPr>
    </w:p>
    <w:p w:rsidR="00E02708" w:rsidRDefault="00E02708" w:rsidP="00E02708">
      <w:pPr>
        <w:ind w:left="708"/>
        <w:jc w:val="both"/>
        <w:rPr>
          <w:i/>
          <w:iCs/>
          <w:color w:val="000000" w:themeColor="text1"/>
          <w:lang w:val="es-ES" w:eastAsia="en-US"/>
        </w:rPr>
      </w:pPr>
      <w:r w:rsidRPr="00E02708">
        <w:rPr>
          <w:i/>
          <w:iCs/>
          <w:color w:val="000000" w:themeColor="text1"/>
          <w:lang w:val="es-ES" w:eastAsia="en-US"/>
        </w:rPr>
        <w:t>1)</w:t>
      </w:r>
      <w:r w:rsidRPr="00E02708">
        <w:rPr>
          <w:i/>
          <w:iCs/>
          <w:color w:val="000000" w:themeColor="text1"/>
          <w:lang w:val="es-ES" w:eastAsia="en-US"/>
        </w:rPr>
        <w:tab/>
        <w:t>Portal de internet</w:t>
      </w:r>
    </w:p>
    <w:p w:rsidR="00E02708" w:rsidRPr="00E02708" w:rsidRDefault="00E02708" w:rsidP="00E02708">
      <w:pPr>
        <w:ind w:left="708"/>
        <w:jc w:val="both"/>
        <w:rPr>
          <w:i/>
          <w:iCs/>
          <w:color w:val="000000" w:themeColor="text1"/>
          <w:lang w:val="es-ES" w:eastAsia="en-US"/>
        </w:rPr>
      </w:pPr>
    </w:p>
    <w:p w:rsidR="00E02708" w:rsidRDefault="00E02708" w:rsidP="00E02708">
      <w:pPr>
        <w:ind w:left="708"/>
        <w:jc w:val="both"/>
        <w:rPr>
          <w:i/>
          <w:iCs/>
          <w:color w:val="000000" w:themeColor="text1"/>
          <w:lang w:val="es-ES" w:eastAsia="en-US"/>
        </w:rPr>
      </w:pPr>
      <w:r w:rsidRPr="00E02708">
        <w:rPr>
          <w:i/>
          <w:iCs/>
          <w:color w:val="000000" w:themeColor="text1"/>
          <w:lang w:val="es-ES" w:eastAsia="en-US"/>
        </w:rPr>
        <w:t>Con la incorporación del internet como el modo de mayor alcance mediante el cual los ciudadanos solicitan y se allegan de información, y por ende la relevancia que tienen las páginas electrónicas institucionales, estas se constituyen como el referente obligado para medir el grado de modernización y cumplimiento de la obligación de transparentar la información con que cuentan los entes públicos.</w:t>
      </w:r>
    </w:p>
    <w:p w:rsidR="00E02708" w:rsidRPr="00E02708" w:rsidRDefault="00E02708" w:rsidP="00E02708">
      <w:pPr>
        <w:ind w:left="708"/>
        <w:jc w:val="both"/>
        <w:rPr>
          <w:i/>
          <w:iCs/>
          <w:color w:val="000000" w:themeColor="text1"/>
          <w:lang w:val="es-ES" w:eastAsia="en-US"/>
        </w:rPr>
      </w:pPr>
    </w:p>
    <w:p w:rsidR="00E02708" w:rsidRPr="00E02708" w:rsidRDefault="00E02708" w:rsidP="00E02708">
      <w:pPr>
        <w:ind w:left="708"/>
        <w:jc w:val="both"/>
        <w:rPr>
          <w:i/>
          <w:iCs/>
          <w:color w:val="000000" w:themeColor="text1"/>
          <w:lang w:val="es-ES" w:eastAsia="en-US"/>
        </w:rPr>
      </w:pPr>
      <w:r w:rsidRPr="00E02708">
        <w:rPr>
          <w:i/>
          <w:iCs/>
          <w:color w:val="000000" w:themeColor="text1"/>
          <w:lang w:val="es-ES" w:eastAsia="en-US"/>
        </w:rPr>
        <w:t xml:space="preserve">De conformidad con el multicitado Acuerdo que norma la actividad del COGATI, entre sus atribuciones se encuentra la de vigilar y hacer las recomendaciones </w:t>
      </w:r>
      <w:r w:rsidRPr="00E02708">
        <w:rPr>
          <w:i/>
          <w:iCs/>
          <w:color w:val="000000" w:themeColor="text1"/>
          <w:lang w:val="es-ES" w:eastAsia="en-US"/>
        </w:rPr>
        <w:lastRenderedPageBreak/>
        <w:t xml:space="preserve">para que se dé cumplimiento a las normas relativas a garantizar a toda persona, el acceso a la información mediante procedimientos sencillos y expeditos, así como sobre la disposición al público, a través de medios remotos o locales de comunicación electrónica, la información que obligatoriamente se debe publicar. </w:t>
      </w:r>
    </w:p>
    <w:p w:rsidR="00E02708" w:rsidRDefault="00E02708" w:rsidP="00E02708">
      <w:pPr>
        <w:ind w:left="708"/>
        <w:jc w:val="both"/>
        <w:rPr>
          <w:i/>
          <w:iCs/>
          <w:color w:val="000000" w:themeColor="text1"/>
          <w:lang w:val="es-ES" w:eastAsia="en-US"/>
        </w:rPr>
      </w:pPr>
    </w:p>
    <w:p w:rsidR="004D0523" w:rsidRPr="00E02708" w:rsidRDefault="00E02708" w:rsidP="00E02708">
      <w:pPr>
        <w:ind w:left="708"/>
        <w:jc w:val="both"/>
        <w:rPr>
          <w:rFonts w:asciiTheme="majorHAnsi" w:eastAsiaTheme="minorHAnsi" w:hAnsiTheme="majorHAnsi"/>
          <w:b/>
          <w:lang w:val="es-ES" w:eastAsia="en-US"/>
        </w:rPr>
      </w:pPr>
      <w:r w:rsidRPr="00E02708">
        <w:rPr>
          <w:i/>
          <w:iCs/>
          <w:color w:val="000000" w:themeColor="text1"/>
          <w:lang w:val="es-ES" w:eastAsia="en-US"/>
        </w:rPr>
        <w:t>En este sentido es indispensable realizar un diagnóstico y proponer las modificaciones y actualizaciones necesarias al actual portal de internet de transparencia, para que cuente con los elementos de accesibilidad a la información más avanzados y sencillos para garantizar la actualización, confiabilidad y validación de su contenido de acuerdo a los estándares de calidad más altos. Para ello será necesario establecer un contacto directo y de colaboración tanto con la Unidad de Enlace como con el Centro de informática y Telecomunicaciones.</w:t>
      </w:r>
    </w:p>
    <w:p w:rsidR="009718BC" w:rsidRPr="004D0523" w:rsidRDefault="009718BC" w:rsidP="004D0523">
      <w:pPr>
        <w:jc w:val="both"/>
        <w:rPr>
          <w:rFonts w:asciiTheme="majorHAnsi" w:eastAsiaTheme="minorHAnsi" w:hAnsiTheme="majorHAnsi"/>
          <w:b/>
          <w:lang w:val="es-MX" w:eastAsia="en-US"/>
        </w:rPr>
      </w:pPr>
    </w:p>
    <w:p w:rsidR="00F9690A" w:rsidRDefault="00E02708" w:rsidP="009718BC">
      <w:pPr>
        <w:jc w:val="both"/>
        <w:rPr>
          <w:rFonts w:asciiTheme="majorHAnsi" w:hAnsiTheme="majorHAnsi"/>
        </w:rPr>
      </w:pPr>
      <w:r>
        <w:rPr>
          <w:rFonts w:asciiTheme="majorHAnsi" w:hAnsiTheme="majorHAnsi"/>
        </w:rPr>
        <w:t>Que para dar cumplimiento a este punto del Plan de Trabajo</w:t>
      </w:r>
      <w:r w:rsidR="009718BC">
        <w:rPr>
          <w:rFonts w:asciiTheme="majorHAnsi" w:hAnsiTheme="majorHAnsi"/>
        </w:rPr>
        <w:t>, la Presidencia del COGATI instruyó a su Secretaría Técnica</w:t>
      </w:r>
      <w:r w:rsidR="00762261">
        <w:rPr>
          <w:rFonts w:asciiTheme="majorHAnsi" w:hAnsiTheme="majorHAnsi"/>
        </w:rPr>
        <w:t>,</w:t>
      </w:r>
      <w:r w:rsidR="009718BC">
        <w:rPr>
          <w:rFonts w:asciiTheme="majorHAnsi" w:hAnsiTheme="majorHAnsi"/>
        </w:rPr>
        <w:t xml:space="preserve"> </w:t>
      </w:r>
      <w:r>
        <w:rPr>
          <w:rFonts w:asciiTheme="majorHAnsi" w:hAnsiTheme="majorHAnsi"/>
        </w:rPr>
        <w:t>entablar contacto con Organizaciones de la Sociedad Civil especializadas en el tema de Transparencia Parlamentaria, con el objetivo de detectar áreas de oportunidad y</w:t>
      </w:r>
      <w:r w:rsidR="00E61A8C">
        <w:rPr>
          <w:rFonts w:asciiTheme="majorHAnsi" w:hAnsiTheme="majorHAnsi"/>
        </w:rPr>
        <w:t>,</w:t>
      </w:r>
      <w:r>
        <w:rPr>
          <w:rFonts w:asciiTheme="majorHAnsi" w:hAnsiTheme="majorHAnsi"/>
        </w:rPr>
        <w:t xml:space="preserve"> en su caso</w:t>
      </w:r>
      <w:r w:rsidR="00E61A8C">
        <w:rPr>
          <w:rFonts w:asciiTheme="majorHAnsi" w:hAnsiTheme="majorHAnsi"/>
        </w:rPr>
        <w:t>,</w:t>
      </w:r>
      <w:r>
        <w:rPr>
          <w:rFonts w:asciiTheme="majorHAnsi" w:hAnsiTheme="majorHAnsi"/>
        </w:rPr>
        <w:t xml:space="preserve"> analizar la viabilidad de realizar las recomendaciones pertinentes para garantizar el acceso a la información con que cuenta el Senado de la República. </w:t>
      </w:r>
    </w:p>
    <w:p w:rsidR="009718BC" w:rsidRDefault="009718BC" w:rsidP="009718BC">
      <w:pPr>
        <w:jc w:val="both"/>
        <w:rPr>
          <w:rFonts w:asciiTheme="majorHAnsi" w:hAnsiTheme="majorHAnsi"/>
        </w:rPr>
      </w:pPr>
    </w:p>
    <w:p w:rsidR="00E02708" w:rsidRDefault="009718BC" w:rsidP="009718BC">
      <w:pPr>
        <w:jc w:val="both"/>
        <w:rPr>
          <w:rFonts w:asciiTheme="majorHAnsi" w:hAnsiTheme="majorHAnsi"/>
        </w:rPr>
      </w:pPr>
      <w:r>
        <w:rPr>
          <w:rFonts w:asciiTheme="majorHAnsi" w:hAnsiTheme="majorHAnsi"/>
        </w:rPr>
        <w:t>Que en seguimiento a esta instrucción</w:t>
      </w:r>
      <w:r w:rsidR="00665330">
        <w:rPr>
          <w:rFonts w:asciiTheme="majorHAnsi" w:hAnsiTheme="majorHAnsi"/>
        </w:rPr>
        <w:t>,</w:t>
      </w:r>
      <w:r>
        <w:rPr>
          <w:rFonts w:asciiTheme="majorHAnsi" w:hAnsiTheme="majorHAnsi"/>
        </w:rPr>
        <w:t xml:space="preserve"> se llevó a cabo un</w:t>
      </w:r>
      <w:r w:rsidR="00E02708">
        <w:rPr>
          <w:rFonts w:asciiTheme="majorHAnsi" w:hAnsiTheme="majorHAnsi"/>
        </w:rPr>
        <w:t xml:space="preserve">a reunión con representantes del </w:t>
      </w:r>
      <w:r w:rsidR="00E02708" w:rsidRPr="00E02708">
        <w:rPr>
          <w:rFonts w:asciiTheme="majorHAnsi" w:hAnsiTheme="majorHAnsi"/>
          <w:i/>
        </w:rPr>
        <w:t>National Democratic Institute</w:t>
      </w:r>
      <w:r w:rsidR="00E02708">
        <w:rPr>
          <w:rFonts w:asciiTheme="majorHAnsi" w:hAnsiTheme="majorHAnsi"/>
          <w:i/>
        </w:rPr>
        <w:t>,</w:t>
      </w:r>
      <w:r w:rsidR="00E02708">
        <w:rPr>
          <w:rFonts w:asciiTheme="majorHAnsi" w:hAnsiTheme="majorHAnsi"/>
        </w:rPr>
        <w:t xml:space="preserve"> así como del Centro de Análisis e Investigación</w:t>
      </w:r>
      <w:r w:rsidR="00762261">
        <w:rPr>
          <w:rFonts w:asciiTheme="majorHAnsi" w:hAnsiTheme="majorHAnsi"/>
        </w:rPr>
        <w:t>-</w:t>
      </w:r>
      <w:r w:rsidR="00E02708">
        <w:rPr>
          <w:rFonts w:asciiTheme="majorHAnsi" w:hAnsiTheme="majorHAnsi"/>
        </w:rPr>
        <w:t xml:space="preserve">Fundar, en la que se presentó la Declaración sobre </w:t>
      </w:r>
      <w:r w:rsidR="00665330">
        <w:rPr>
          <w:rFonts w:asciiTheme="majorHAnsi" w:hAnsiTheme="majorHAnsi"/>
        </w:rPr>
        <w:t>la Transparencia Parlamentaria, la cual constituye un llamado a los parlamentos nacionales, y a los órganos legislativos subnacionales y transnacionales, por las organizaciones de la sociedad civil de monitoreo parlamentario, para generar un mayor compromiso con la transparencia y la participación ciudadana.</w:t>
      </w:r>
    </w:p>
    <w:p w:rsidR="00E02708" w:rsidRDefault="00E02708" w:rsidP="009718BC">
      <w:pPr>
        <w:jc w:val="both"/>
        <w:rPr>
          <w:rFonts w:asciiTheme="majorHAnsi" w:hAnsiTheme="majorHAnsi"/>
        </w:rPr>
      </w:pPr>
    </w:p>
    <w:p w:rsidR="009718BC" w:rsidRDefault="00665330" w:rsidP="009718BC">
      <w:pPr>
        <w:jc w:val="both"/>
        <w:rPr>
          <w:rFonts w:asciiTheme="majorHAnsi" w:hAnsiTheme="majorHAnsi"/>
        </w:rPr>
      </w:pPr>
      <w:r>
        <w:rPr>
          <w:rFonts w:asciiTheme="majorHAnsi" w:hAnsiTheme="majorHAnsi"/>
        </w:rPr>
        <w:t>Que entre otros temas, de las reuniones de trabajo en las que se analizaron los postulados de dicha Declaración</w:t>
      </w:r>
      <w:r w:rsidR="00C55BC5">
        <w:rPr>
          <w:rFonts w:asciiTheme="majorHAnsi" w:hAnsiTheme="majorHAnsi"/>
        </w:rPr>
        <w:t>,</w:t>
      </w:r>
      <w:r>
        <w:rPr>
          <w:rFonts w:asciiTheme="majorHAnsi" w:hAnsiTheme="majorHAnsi"/>
        </w:rPr>
        <w:t xml:space="preserve"> se encontró que existen varias áreas de oportunidad relacionadas con las atribuciones conferidas</w:t>
      </w:r>
      <w:r w:rsidR="00F6797A">
        <w:rPr>
          <w:rFonts w:asciiTheme="majorHAnsi" w:hAnsiTheme="majorHAnsi"/>
        </w:rPr>
        <w:t xml:space="preserve"> tanto a la Secretaría General de Servicios Parlamentarios como a la Secretaría General de Servicios </w:t>
      </w:r>
      <w:r w:rsidR="008C6AE6">
        <w:rPr>
          <w:rFonts w:asciiTheme="majorHAnsi" w:hAnsiTheme="majorHAnsi"/>
        </w:rPr>
        <w:t>Administrativos</w:t>
      </w:r>
      <w:r>
        <w:rPr>
          <w:rFonts w:asciiTheme="majorHAnsi" w:hAnsiTheme="majorHAnsi"/>
        </w:rPr>
        <w:t>, a saber:</w:t>
      </w:r>
    </w:p>
    <w:p w:rsidR="009F0416" w:rsidRPr="009F0416" w:rsidRDefault="009F0416" w:rsidP="009718BC">
      <w:pPr>
        <w:jc w:val="both"/>
        <w:rPr>
          <w:rFonts w:asciiTheme="majorHAnsi" w:hAnsiTheme="majorHAnsi"/>
          <w:b/>
        </w:rPr>
      </w:pPr>
    </w:p>
    <w:p w:rsidR="009F0416" w:rsidRPr="009F0416" w:rsidRDefault="008C6AE6" w:rsidP="009F0416">
      <w:pPr>
        <w:pStyle w:val="Prrafodelista"/>
        <w:numPr>
          <w:ilvl w:val="0"/>
          <w:numId w:val="9"/>
        </w:numPr>
        <w:jc w:val="both"/>
        <w:rPr>
          <w:rFonts w:asciiTheme="majorHAnsi" w:hAnsiTheme="majorHAnsi"/>
          <w:b/>
        </w:rPr>
      </w:pPr>
      <w:r>
        <w:rPr>
          <w:rFonts w:asciiTheme="majorHAnsi" w:hAnsiTheme="majorHAnsi"/>
          <w:b/>
        </w:rPr>
        <w:t>Utilizar mecanismos de búsqueda fáciles y estables</w:t>
      </w:r>
      <w:r w:rsidR="001C40C1">
        <w:rPr>
          <w:rFonts w:asciiTheme="majorHAnsi" w:hAnsiTheme="majorHAnsi"/>
          <w:b/>
        </w:rPr>
        <w:t xml:space="preserve">. </w:t>
      </w:r>
    </w:p>
    <w:p w:rsidR="00FF3359" w:rsidRDefault="001C40C1" w:rsidP="008C6AE6">
      <w:pPr>
        <w:ind w:left="360"/>
        <w:jc w:val="both"/>
        <w:rPr>
          <w:rFonts w:asciiTheme="majorHAnsi" w:hAnsiTheme="majorHAnsi"/>
        </w:rPr>
      </w:pPr>
      <w:r>
        <w:rPr>
          <w:rFonts w:asciiTheme="majorHAnsi" w:hAnsiTheme="majorHAnsi"/>
        </w:rPr>
        <w:t xml:space="preserve">El principio 33 de la Declaración antes señalada, </w:t>
      </w:r>
      <w:r w:rsidR="008C6AE6">
        <w:rPr>
          <w:rFonts w:asciiTheme="majorHAnsi" w:hAnsiTheme="majorHAnsi"/>
        </w:rPr>
        <w:t>establece que los</w:t>
      </w:r>
      <w:r w:rsidR="008C6AE6" w:rsidRPr="008C6AE6">
        <w:rPr>
          <w:rFonts w:asciiTheme="majorHAnsi" w:hAnsiTheme="majorHAnsi"/>
        </w:rPr>
        <w:t xml:space="preserve"> parlamentos deben facilitarle lo más posible los mecanismos de búsqueda a los ciudadanos, para que puedan encontrar lo más rápido posible la inf</w:t>
      </w:r>
      <w:r w:rsidR="008C6AE6">
        <w:rPr>
          <w:rFonts w:asciiTheme="majorHAnsi" w:hAnsiTheme="majorHAnsi"/>
        </w:rPr>
        <w:t>ormación parlamentaria deseada., para lo cual d</w:t>
      </w:r>
      <w:r w:rsidR="008C6AE6" w:rsidRPr="008C6AE6">
        <w:rPr>
          <w:rFonts w:asciiTheme="majorHAnsi" w:hAnsiTheme="majorHAnsi"/>
        </w:rPr>
        <w:t>eberán crear bases de datos que permitan la búsqueda de información simple y completa mediante el uso de metadata apropiada.</w:t>
      </w:r>
    </w:p>
    <w:p w:rsidR="008C6AE6" w:rsidRDefault="008C6AE6" w:rsidP="008C6AE6">
      <w:pPr>
        <w:ind w:left="360"/>
        <w:jc w:val="both"/>
        <w:rPr>
          <w:rFonts w:asciiTheme="majorHAnsi" w:hAnsiTheme="majorHAnsi"/>
        </w:rPr>
      </w:pPr>
      <w:r>
        <w:rPr>
          <w:rFonts w:asciiTheme="majorHAnsi" w:hAnsiTheme="majorHAnsi"/>
        </w:rPr>
        <w:t>En el mismo sentido, el principio 36 de la Declaración señala que e</w:t>
      </w:r>
      <w:r w:rsidRPr="008C6AE6">
        <w:rPr>
          <w:rFonts w:asciiTheme="majorHAnsi" w:hAnsiTheme="majorHAnsi"/>
        </w:rPr>
        <w:t>l Parlamento garantizará el uso tecnológico de la información parlamentaria a través de instrucciones claras para el uso de las bases de datos en línea o herramientas que permitan a los ciudadanos recuperar la información parlamentaria en el sitio web del Parlamento. En la medida que el Parlamento proporciona una interfaz de usuario, deberá utilizar las mejores prácticas para mejorar su uso.</w:t>
      </w:r>
    </w:p>
    <w:p w:rsidR="008C6AE6" w:rsidRDefault="008C6AE6" w:rsidP="008C6AE6">
      <w:pPr>
        <w:ind w:left="360"/>
        <w:jc w:val="both"/>
        <w:rPr>
          <w:rFonts w:asciiTheme="majorHAnsi" w:hAnsiTheme="majorHAnsi"/>
        </w:rPr>
      </w:pPr>
    </w:p>
    <w:p w:rsidR="008C6AE6" w:rsidRDefault="008C6AE6" w:rsidP="008C6AE6">
      <w:pPr>
        <w:ind w:left="360"/>
        <w:jc w:val="both"/>
        <w:rPr>
          <w:rFonts w:asciiTheme="majorHAnsi" w:hAnsiTheme="majorHAnsi"/>
        </w:rPr>
      </w:pPr>
      <w:r>
        <w:rPr>
          <w:rFonts w:asciiTheme="majorHAnsi" w:hAnsiTheme="majorHAnsi"/>
        </w:rPr>
        <w:t>En este sentido y en atención a diversas peticiones y recomendaciones que se han realizado sobre la forma de presentación de los documentos de trabajo legislativo que se publican en el sitio web del Senado, se considera oportuno recomendar a las áreas encargadas</w:t>
      </w:r>
      <w:r w:rsidR="00762261">
        <w:rPr>
          <w:rFonts w:asciiTheme="majorHAnsi" w:hAnsiTheme="majorHAnsi"/>
        </w:rPr>
        <w:t>,</w:t>
      </w:r>
      <w:r>
        <w:rPr>
          <w:rFonts w:asciiTheme="majorHAnsi" w:hAnsiTheme="majorHAnsi"/>
        </w:rPr>
        <w:t xml:space="preserve"> la sistematización de la información parlamentaria mediante un registro alfanumérico de los docu</w:t>
      </w:r>
      <w:r w:rsidR="0028717A">
        <w:rPr>
          <w:rFonts w:asciiTheme="majorHAnsi" w:hAnsiTheme="majorHAnsi"/>
        </w:rPr>
        <w:t>mentos legislativos.</w:t>
      </w:r>
    </w:p>
    <w:p w:rsidR="0028717A" w:rsidRDefault="0028717A" w:rsidP="008C6AE6">
      <w:pPr>
        <w:ind w:left="360"/>
        <w:jc w:val="both"/>
        <w:rPr>
          <w:rFonts w:asciiTheme="majorHAnsi" w:hAnsiTheme="majorHAnsi"/>
        </w:rPr>
      </w:pPr>
    </w:p>
    <w:p w:rsidR="008C6AE6" w:rsidRDefault="00C46265" w:rsidP="00633B64">
      <w:pPr>
        <w:ind w:left="360"/>
        <w:jc w:val="both"/>
        <w:rPr>
          <w:rFonts w:asciiTheme="majorHAnsi" w:hAnsiTheme="majorHAnsi"/>
        </w:rPr>
      </w:pPr>
      <w:r>
        <w:rPr>
          <w:rFonts w:asciiTheme="majorHAnsi" w:hAnsiTheme="majorHAnsi"/>
        </w:rPr>
        <w:t>Es por esto que</w:t>
      </w:r>
      <w:r w:rsidR="00261AFD">
        <w:rPr>
          <w:rFonts w:asciiTheme="majorHAnsi" w:hAnsiTheme="majorHAnsi"/>
        </w:rPr>
        <w:t xml:space="preserve"> se considera </w:t>
      </w:r>
      <w:r w:rsidR="00762261">
        <w:rPr>
          <w:rFonts w:asciiTheme="majorHAnsi" w:hAnsiTheme="majorHAnsi"/>
        </w:rPr>
        <w:t>oportuno</w:t>
      </w:r>
      <w:r w:rsidR="00261AFD">
        <w:rPr>
          <w:rFonts w:asciiTheme="majorHAnsi" w:hAnsiTheme="majorHAnsi"/>
        </w:rPr>
        <w:t xml:space="preserve"> recomendar</w:t>
      </w:r>
      <w:r w:rsidR="0028717A">
        <w:rPr>
          <w:rFonts w:asciiTheme="majorHAnsi" w:hAnsiTheme="majorHAnsi"/>
        </w:rPr>
        <w:t xml:space="preserve"> que se establezcan lineamientos internos en base a las mejores prácticas parlamentarias, para el registro de la documentación </w:t>
      </w:r>
      <w:r w:rsidR="00261AFD">
        <w:rPr>
          <w:rFonts w:asciiTheme="majorHAnsi" w:hAnsiTheme="majorHAnsi"/>
        </w:rPr>
        <w:t>que publica</w:t>
      </w:r>
      <w:r w:rsidR="0028717A">
        <w:rPr>
          <w:rFonts w:asciiTheme="majorHAnsi" w:hAnsiTheme="majorHAnsi"/>
        </w:rPr>
        <w:t xml:space="preserve"> el Senado </w:t>
      </w:r>
      <w:r w:rsidR="00261AFD">
        <w:rPr>
          <w:rFonts w:asciiTheme="majorHAnsi" w:hAnsiTheme="majorHAnsi"/>
        </w:rPr>
        <w:t xml:space="preserve">en medios electrónicos </w:t>
      </w:r>
      <w:r w:rsidR="0028717A">
        <w:rPr>
          <w:rFonts w:asciiTheme="majorHAnsi" w:hAnsiTheme="majorHAnsi"/>
        </w:rPr>
        <w:t xml:space="preserve">y </w:t>
      </w:r>
      <w:r w:rsidR="00261AFD">
        <w:rPr>
          <w:rFonts w:asciiTheme="majorHAnsi" w:hAnsiTheme="majorHAnsi"/>
        </w:rPr>
        <w:t>se considere la posibilidad de realizar un diagnóstico general sobre los sistemas de búsqueda d</w:t>
      </w:r>
      <w:r w:rsidR="00633B64">
        <w:rPr>
          <w:rFonts w:asciiTheme="majorHAnsi" w:hAnsiTheme="majorHAnsi"/>
        </w:rPr>
        <w:t xml:space="preserve">entro del Sitio Web, con el fin de </w:t>
      </w:r>
      <w:r w:rsidR="00261AFD">
        <w:rPr>
          <w:rFonts w:asciiTheme="majorHAnsi" w:hAnsiTheme="majorHAnsi"/>
        </w:rPr>
        <w:t xml:space="preserve">contar con un Buscador especializado que permita </w:t>
      </w:r>
      <w:r w:rsidR="00633B64">
        <w:rPr>
          <w:rFonts w:asciiTheme="majorHAnsi" w:hAnsiTheme="majorHAnsi"/>
        </w:rPr>
        <w:t xml:space="preserve">la </w:t>
      </w:r>
      <w:r w:rsidR="00261AFD">
        <w:rPr>
          <w:rFonts w:asciiTheme="majorHAnsi" w:hAnsiTheme="majorHAnsi"/>
        </w:rPr>
        <w:t>búsqueda de esta información de manera sencilla, eficaz y completa.</w:t>
      </w:r>
    </w:p>
    <w:p w:rsidR="009718BC" w:rsidRPr="009F0416" w:rsidRDefault="009718BC" w:rsidP="009718BC">
      <w:pPr>
        <w:jc w:val="both"/>
        <w:rPr>
          <w:rFonts w:asciiTheme="majorHAnsi" w:hAnsiTheme="majorHAnsi"/>
          <w:b/>
        </w:rPr>
      </w:pPr>
    </w:p>
    <w:p w:rsidR="009F0416" w:rsidRDefault="00FF3359" w:rsidP="009F0416">
      <w:pPr>
        <w:pStyle w:val="Prrafodelista"/>
        <w:numPr>
          <w:ilvl w:val="0"/>
          <w:numId w:val="9"/>
        </w:numPr>
        <w:jc w:val="both"/>
        <w:rPr>
          <w:rFonts w:asciiTheme="majorHAnsi" w:hAnsiTheme="majorHAnsi"/>
          <w:b/>
        </w:rPr>
      </w:pPr>
      <w:r>
        <w:rPr>
          <w:rFonts w:asciiTheme="majorHAnsi" w:hAnsiTheme="majorHAnsi"/>
          <w:b/>
        </w:rPr>
        <w:t xml:space="preserve">Proporcionar </w:t>
      </w:r>
      <w:r w:rsidR="00633B64">
        <w:rPr>
          <w:rFonts w:asciiTheme="majorHAnsi" w:hAnsiTheme="majorHAnsi"/>
          <w:b/>
        </w:rPr>
        <w:t xml:space="preserve">información sobre la votación. </w:t>
      </w:r>
    </w:p>
    <w:p w:rsidR="00633B64" w:rsidRDefault="006D71E7" w:rsidP="00633B64">
      <w:pPr>
        <w:ind w:left="360"/>
        <w:jc w:val="both"/>
        <w:rPr>
          <w:rFonts w:asciiTheme="majorHAnsi" w:hAnsiTheme="majorHAnsi"/>
        </w:rPr>
      </w:pPr>
      <w:r>
        <w:rPr>
          <w:rFonts w:asciiTheme="majorHAnsi" w:hAnsiTheme="majorHAnsi"/>
        </w:rPr>
        <w:t>En el principio 20 de la citada Declaración, se señala que p</w:t>
      </w:r>
      <w:r w:rsidRPr="006D71E7">
        <w:rPr>
          <w:rFonts w:asciiTheme="majorHAnsi" w:hAnsiTheme="majorHAnsi"/>
        </w:rPr>
        <w:t>ara garantizar la rendición de cuentas a sus electores por su comportamiento electoral, el Parlamento se esforzará para reducir al mínimo el uso de la voz de votación en sesión plenaria y se utilizará votación nominal o votación electrónica en la mayoría de los casos;</w:t>
      </w:r>
      <w:r>
        <w:rPr>
          <w:rFonts w:asciiTheme="majorHAnsi" w:hAnsiTheme="majorHAnsi"/>
        </w:rPr>
        <w:t xml:space="preserve"> para lo cual se </w:t>
      </w:r>
      <w:r w:rsidRPr="006D71E7">
        <w:rPr>
          <w:rFonts w:asciiTheme="majorHAnsi" w:hAnsiTheme="majorHAnsi"/>
        </w:rPr>
        <w:t>mantendrá y pondrá a disposición del público</w:t>
      </w:r>
      <w:r w:rsidR="00762261">
        <w:rPr>
          <w:rFonts w:asciiTheme="majorHAnsi" w:hAnsiTheme="majorHAnsi"/>
        </w:rPr>
        <w:t>,</w:t>
      </w:r>
      <w:r w:rsidRPr="006D71E7">
        <w:rPr>
          <w:rFonts w:asciiTheme="majorHAnsi" w:hAnsiTheme="majorHAnsi"/>
        </w:rPr>
        <w:t xml:space="preserve"> un registro de la votación individual así como del comportamiento de los miembros individuales del Parlamento en sesión plenaria y en </w:t>
      </w:r>
      <w:r w:rsidR="00762261">
        <w:rPr>
          <w:rFonts w:asciiTheme="majorHAnsi" w:hAnsiTheme="majorHAnsi"/>
        </w:rPr>
        <w:t>C</w:t>
      </w:r>
      <w:r w:rsidRPr="006D71E7">
        <w:rPr>
          <w:rFonts w:asciiTheme="majorHAnsi" w:hAnsiTheme="majorHAnsi"/>
        </w:rPr>
        <w:t xml:space="preserve">omisiones. </w:t>
      </w:r>
    </w:p>
    <w:p w:rsidR="006D71E7" w:rsidRDefault="006D71E7" w:rsidP="00633B64">
      <w:pPr>
        <w:ind w:left="360"/>
        <w:jc w:val="both"/>
        <w:rPr>
          <w:rFonts w:asciiTheme="majorHAnsi" w:hAnsiTheme="majorHAnsi"/>
        </w:rPr>
      </w:pPr>
    </w:p>
    <w:p w:rsidR="006D71E7" w:rsidRDefault="006D71E7" w:rsidP="00633B64">
      <w:pPr>
        <w:ind w:left="360"/>
        <w:jc w:val="both"/>
        <w:rPr>
          <w:rFonts w:asciiTheme="majorHAnsi" w:hAnsiTheme="majorHAnsi"/>
        </w:rPr>
      </w:pPr>
      <w:r>
        <w:rPr>
          <w:rFonts w:asciiTheme="majorHAnsi" w:hAnsiTheme="majorHAnsi"/>
        </w:rPr>
        <w:t>Adicionalmente, en el principio número 11 se señala que l</w:t>
      </w:r>
      <w:r w:rsidRPr="006D71E7">
        <w:rPr>
          <w:rFonts w:asciiTheme="majorHAnsi" w:hAnsiTheme="majorHAnsi"/>
        </w:rPr>
        <w:t xml:space="preserve">a información parlamentaria se proporcionará al público de manera oportuna. Como regla general, la información deberá ser </w:t>
      </w:r>
      <w:r>
        <w:rPr>
          <w:rFonts w:asciiTheme="majorHAnsi" w:hAnsiTheme="majorHAnsi"/>
        </w:rPr>
        <w:t>proporcionada en tiempo real y</w:t>
      </w:r>
      <w:r w:rsidR="00762261">
        <w:rPr>
          <w:rFonts w:asciiTheme="majorHAnsi" w:hAnsiTheme="majorHAnsi"/>
        </w:rPr>
        <w:t>, en</w:t>
      </w:r>
      <w:r w:rsidRPr="006D71E7">
        <w:rPr>
          <w:rFonts w:asciiTheme="majorHAnsi" w:hAnsiTheme="majorHAnsi"/>
        </w:rPr>
        <w:t xml:space="preserve"> la medida en que ello no sea posible, la información parlamentaria se hará pública tan pronto como esté disponible internamente.</w:t>
      </w:r>
    </w:p>
    <w:p w:rsidR="006D71E7" w:rsidRDefault="006D71E7" w:rsidP="00633B64">
      <w:pPr>
        <w:ind w:left="360"/>
        <w:jc w:val="both"/>
        <w:rPr>
          <w:rFonts w:asciiTheme="majorHAnsi" w:hAnsiTheme="majorHAnsi"/>
        </w:rPr>
      </w:pPr>
    </w:p>
    <w:p w:rsidR="006D71E7" w:rsidRDefault="006D71E7" w:rsidP="00633B64">
      <w:pPr>
        <w:ind w:left="360"/>
        <w:jc w:val="both"/>
        <w:rPr>
          <w:rFonts w:asciiTheme="majorHAnsi" w:hAnsiTheme="majorHAnsi"/>
        </w:rPr>
      </w:pPr>
      <w:r>
        <w:rPr>
          <w:rFonts w:asciiTheme="majorHAnsi" w:hAnsiTheme="majorHAnsi"/>
        </w:rPr>
        <w:t xml:space="preserve">En este sentido y tomando en cuenta que el Senado de la República cuenta con un </w:t>
      </w:r>
      <w:r w:rsidRPr="006D71E7">
        <w:rPr>
          <w:rFonts w:asciiTheme="majorHAnsi" w:hAnsiTheme="majorHAnsi"/>
        </w:rPr>
        <w:t>Sistema Parlamentario de Asistencia y Votación</w:t>
      </w:r>
      <w:r>
        <w:rPr>
          <w:rFonts w:asciiTheme="majorHAnsi" w:hAnsiTheme="majorHAnsi"/>
        </w:rPr>
        <w:t>, en el que se registra electrónicamente la votación de las y los Senadores en el Pleno, se hizo un análisis de la manera en que dicha información es presentada al público en el sitio web del Senado. Se e</w:t>
      </w:r>
      <w:r w:rsidR="00762261">
        <w:rPr>
          <w:rFonts w:asciiTheme="majorHAnsi" w:hAnsiTheme="majorHAnsi"/>
        </w:rPr>
        <w:t>ncontró que la presentación de é</w:t>
      </w:r>
      <w:r>
        <w:rPr>
          <w:rFonts w:asciiTheme="majorHAnsi" w:hAnsiTheme="majorHAnsi"/>
        </w:rPr>
        <w:t>sta información no es la más adecuada, pues carece de una sistematización, la ubicación en la que se encuentra no es intuitiva y en el formato presentado (documentos PDF), hace complicada su utilización.</w:t>
      </w:r>
    </w:p>
    <w:p w:rsidR="006D71E7" w:rsidRDefault="006D71E7" w:rsidP="00633B64">
      <w:pPr>
        <w:ind w:left="360"/>
        <w:jc w:val="both"/>
        <w:rPr>
          <w:rFonts w:asciiTheme="majorHAnsi" w:hAnsiTheme="majorHAnsi"/>
        </w:rPr>
      </w:pPr>
    </w:p>
    <w:p w:rsidR="006D71E7" w:rsidRDefault="006D71E7" w:rsidP="00633B64">
      <w:pPr>
        <w:ind w:left="360"/>
        <w:jc w:val="both"/>
        <w:rPr>
          <w:rFonts w:asciiTheme="majorHAnsi" w:hAnsiTheme="majorHAnsi"/>
        </w:rPr>
      </w:pPr>
      <w:r>
        <w:rPr>
          <w:rFonts w:asciiTheme="majorHAnsi" w:hAnsiTheme="majorHAnsi"/>
        </w:rPr>
        <w:t xml:space="preserve">Es por lo antes señalado que se considera oportuno recomendar que se realicen las gestiones necesarias para que la página web del Senado cuente con una base de datos actualizada, sencilla y </w:t>
      </w:r>
      <w:r w:rsidR="00C34310">
        <w:rPr>
          <w:rFonts w:asciiTheme="majorHAnsi" w:hAnsiTheme="majorHAnsi"/>
        </w:rPr>
        <w:t>con una interfaz adecuada</w:t>
      </w:r>
      <w:r>
        <w:rPr>
          <w:rFonts w:asciiTheme="majorHAnsi" w:hAnsiTheme="majorHAnsi"/>
        </w:rPr>
        <w:t xml:space="preserve"> para el usuario, en la que se presente la información </w:t>
      </w:r>
      <w:r w:rsidR="00C34310">
        <w:rPr>
          <w:rFonts w:asciiTheme="majorHAnsi" w:hAnsiTheme="majorHAnsi"/>
        </w:rPr>
        <w:t xml:space="preserve">relativa a las votaciones de los asuntos que son analizados en el Pleno del Senado en tiempo real. </w:t>
      </w:r>
    </w:p>
    <w:p w:rsidR="006214C6" w:rsidRDefault="006214C6" w:rsidP="00F16001">
      <w:pPr>
        <w:jc w:val="both"/>
        <w:rPr>
          <w:rFonts w:asciiTheme="majorHAnsi" w:hAnsiTheme="majorHAnsi"/>
        </w:rPr>
      </w:pPr>
      <w:bookmarkStart w:id="0" w:name="_GoBack"/>
      <w:bookmarkEnd w:id="0"/>
    </w:p>
    <w:p w:rsidR="00DE671A" w:rsidRDefault="00DE671A" w:rsidP="00DE671A">
      <w:pPr>
        <w:jc w:val="both"/>
        <w:rPr>
          <w:rFonts w:asciiTheme="majorHAnsi" w:hAnsiTheme="majorHAnsi"/>
        </w:rPr>
      </w:pPr>
      <w:r>
        <w:rPr>
          <w:rFonts w:asciiTheme="majorHAnsi" w:hAnsiTheme="majorHAnsi"/>
        </w:rPr>
        <w:t xml:space="preserve">Que de conformidad con el </w:t>
      </w:r>
      <w:r w:rsidRPr="00C34310">
        <w:rPr>
          <w:rFonts w:asciiTheme="majorHAnsi" w:hAnsiTheme="majorHAnsi"/>
        </w:rPr>
        <w:t>Estatuto para los Servicios Parlamentarios, Administrativos y Técnicos del Senado de la República</w:t>
      </w:r>
      <w:r>
        <w:rPr>
          <w:rFonts w:asciiTheme="majorHAnsi" w:hAnsiTheme="majorHAnsi"/>
        </w:rPr>
        <w:t>, dentro de las atribuciones de la Secretaría General de Servicios Parlamentarios se encuentran las de a</w:t>
      </w:r>
      <w:r w:rsidRPr="00DE671A">
        <w:rPr>
          <w:rFonts w:asciiTheme="majorHAnsi" w:hAnsiTheme="majorHAnsi"/>
        </w:rPr>
        <w:t>brir, integrar y actualizar los expedientes de los asuntos recibidos en el Senado y supervisar la integració</w:t>
      </w:r>
      <w:r>
        <w:rPr>
          <w:rFonts w:asciiTheme="majorHAnsi" w:hAnsiTheme="majorHAnsi"/>
        </w:rPr>
        <w:t>n del libro de Leyes y Decretos, así como las de r</w:t>
      </w:r>
      <w:r w:rsidRPr="00DE671A">
        <w:rPr>
          <w:rFonts w:asciiTheme="majorHAnsi" w:hAnsiTheme="majorHAnsi"/>
        </w:rPr>
        <w:t>ecopilar, sistematizar y actualizar la información y bases de datos del trabajo legislativo y difundirla a través de la página ele</w:t>
      </w:r>
      <w:r>
        <w:rPr>
          <w:rFonts w:asciiTheme="majorHAnsi" w:hAnsiTheme="majorHAnsi"/>
        </w:rPr>
        <w:t>ctrónica del Senado en Internet.</w:t>
      </w:r>
    </w:p>
    <w:p w:rsidR="00DE671A" w:rsidRDefault="00DE671A" w:rsidP="00F16001">
      <w:pPr>
        <w:jc w:val="both"/>
        <w:rPr>
          <w:rFonts w:asciiTheme="majorHAnsi" w:hAnsiTheme="majorHAnsi"/>
        </w:rPr>
      </w:pPr>
    </w:p>
    <w:p w:rsidR="00C34310" w:rsidRDefault="00C34310" w:rsidP="00F16001">
      <w:pPr>
        <w:jc w:val="both"/>
        <w:rPr>
          <w:rFonts w:asciiTheme="majorHAnsi" w:hAnsiTheme="majorHAnsi"/>
        </w:rPr>
      </w:pPr>
      <w:r>
        <w:rPr>
          <w:rFonts w:asciiTheme="majorHAnsi" w:hAnsiTheme="majorHAnsi"/>
        </w:rPr>
        <w:t xml:space="preserve">Que de conformidad </w:t>
      </w:r>
      <w:r w:rsidR="00DE671A">
        <w:rPr>
          <w:rFonts w:asciiTheme="majorHAnsi" w:hAnsiTheme="majorHAnsi"/>
        </w:rPr>
        <w:t>con el citado Estatuto</w:t>
      </w:r>
      <w:r>
        <w:rPr>
          <w:rFonts w:asciiTheme="majorHAnsi" w:hAnsiTheme="majorHAnsi"/>
        </w:rPr>
        <w:t xml:space="preserve">, </w:t>
      </w:r>
      <w:r w:rsidR="00DE671A">
        <w:rPr>
          <w:rFonts w:asciiTheme="majorHAnsi" w:hAnsiTheme="majorHAnsi"/>
        </w:rPr>
        <w:t>otra</w:t>
      </w:r>
      <w:r>
        <w:rPr>
          <w:rFonts w:asciiTheme="majorHAnsi" w:hAnsiTheme="majorHAnsi"/>
        </w:rPr>
        <w:t xml:space="preserve"> de las atribuciones de la Secretaría General de Servicios Parlamentarios se encuentra la de c</w:t>
      </w:r>
      <w:r w:rsidRPr="00C34310">
        <w:rPr>
          <w:rFonts w:asciiTheme="majorHAnsi" w:hAnsiTheme="majorHAnsi"/>
        </w:rPr>
        <w:t xml:space="preserve">oordinar, controlar y dirigir la operación del Sistema Parlamentario de Asistencia y Votación, así como administrar y operar los sistemas de información legislativo instalados en los salones del Pleno y de la </w:t>
      </w:r>
      <w:r>
        <w:rPr>
          <w:rFonts w:asciiTheme="majorHAnsi" w:hAnsiTheme="majorHAnsi"/>
        </w:rPr>
        <w:t xml:space="preserve">Comisión Permanente. </w:t>
      </w:r>
    </w:p>
    <w:p w:rsidR="00C34310" w:rsidRDefault="00C34310" w:rsidP="00F16001">
      <w:pPr>
        <w:jc w:val="both"/>
        <w:rPr>
          <w:rFonts w:asciiTheme="majorHAnsi" w:hAnsiTheme="majorHAnsi"/>
        </w:rPr>
      </w:pPr>
    </w:p>
    <w:p w:rsidR="00C34310" w:rsidRDefault="00C34310" w:rsidP="00F16001">
      <w:pPr>
        <w:jc w:val="both"/>
        <w:rPr>
          <w:rFonts w:asciiTheme="majorHAnsi" w:hAnsiTheme="majorHAnsi"/>
        </w:rPr>
      </w:pPr>
      <w:r>
        <w:rPr>
          <w:rFonts w:asciiTheme="majorHAnsi" w:hAnsiTheme="majorHAnsi"/>
        </w:rPr>
        <w:t xml:space="preserve">Que de conformidad con el Estatuto </w:t>
      </w:r>
      <w:r w:rsidR="00DE671A">
        <w:rPr>
          <w:rFonts w:asciiTheme="majorHAnsi" w:hAnsiTheme="majorHAnsi"/>
        </w:rPr>
        <w:t xml:space="preserve">señalado en el considerando anterior, </w:t>
      </w:r>
      <w:r>
        <w:rPr>
          <w:rFonts w:asciiTheme="majorHAnsi" w:hAnsiTheme="majorHAnsi"/>
        </w:rPr>
        <w:t>corresponde a la Secretaría General de Servicios Administrativos, a través de la Dirección General de Informática y Telecomunicaciones, m</w:t>
      </w:r>
      <w:r w:rsidRPr="00C34310">
        <w:rPr>
          <w:rFonts w:asciiTheme="majorHAnsi" w:hAnsiTheme="majorHAnsi"/>
        </w:rPr>
        <w:t>antener en condiciones óptimas de operación el Sistema Parlamentario de Asistencia y Votación</w:t>
      </w:r>
      <w:r w:rsidR="00762261">
        <w:rPr>
          <w:rFonts w:asciiTheme="majorHAnsi" w:hAnsiTheme="majorHAnsi"/>
        </w:rPr>
        <w:t>,</w:t>
      </w:r>
      <w:r>
        <w:rPr>
          <w:rFonts w:asciiTheme="majorHAnsi" w:hAnsiTheme="majorHAnsi"/>
        </w:rPr>
        <w:t xml:space="preserve"> </w:t>
      </w:r>
      <w:r w:rsidR="00762261">
        <w:rPr>
          <w:rFonts w:asciiTheme="majorHAnsi" w:hAnsiTheme="majorHAnsi"/>
        </w:rPr>
        <w:t>adicionalmente</w:t>
      </w:r>
      <w:r>
        <w:rPr>
          <w:rFonts w:asciiTheme="majorHAnsi" w:hAnsiTheme="majorHAnsi"/>
        </w:rPr>
        <w:t xml:space="preserve"> la de </w:t>
      </w:r>
      <w:r w:rsidR="00762261">
        <w:rPr>
          <w:rFonts w:asciiTheme="majorHAnsi" w:hAnsiTheme="majorHAnsi"/>
        </w:rPr>
        <w:t>p</w:t>
      </w:r>
      <w:r w:rsidRPr="00C34310">
        <w:rPr>
          <w:rFonts w:asciiTheme="majorHAnsi" w:hAnsiTheme="majorHAnsi"/>
        </w:rPr>
        <w:t>lanear, proponer y coordinar el desarrollo de aplicaciones, así como la adopción de nuevas tecnologías de información y comunicaciones con base en los lineamientos y estrategias que determinen los órganos de gobierno del Senado</w:t>
      </w:r>
      <w:r>
        <w:rPr>
          <w:rFonts w:asciiTheme="majorHAnsi" w:hAnsiTheme="majorHAnsi"/>
        </w:rPr>
        <w:t>.</w:t>
      </w:r>
    </w:p>
    <w:p w:rsidR="00C34310" w:rsidRPr="00C35E7E" w:rsidRDefault="00C34310" w:rsidP="00F16001">
      <w:pPr>
        <w:jc w:val="both"/>
        <w:rPr>
          <w:rFonts w:asciiTheme="majorHAnsi" w:hAnsiTheme="majorHAnsi"/>
        </w:rPr>
      </w:pPr>
    </w:p>
    <w:p w:rsidR="00DE671A" w:rsidRDefault="00DE671A" w:rsidP="00DE671A">
      <w:pPr>
        <w:jc w:val="both"/>
        <w:rPr>
          <w:rFonts w:asciiTheme="majorHAnsi" w:hAnsiTheme="majorHAnsi"/>
        </w:rPr>
      </w:pPr>
      <w:r>
        <w:rPr>
          <w:rFonts w:asciiTheme="majorHAnsi" w:hAnsiTheme="majorHAnsi"/>
        </w:rPr>
        <w:t xml:space="preserve">Que existe una correlación entre las recomendaciones que se proponen y el compromiso señalado en el </w:t>
      </w:r>
      <w:r w:rsidRPr="006214C6">
        <w:rPr>
          <w:rFonts w:asciiTheme="majorHAnsi" w:hAnsiTheme="majorHAnsi"/>
        </w:rPr>
        <w:t xml:space="preserve">Acuerdo de la Junta de Coordinación Política </w:t>
      </w:r>
      <w:r>
        <w:rPr>
          <w:rFonts w:asciiTheme="majorHAnsi" w:hAnsiTheme="majorHAnsi"/>
        </w:rPr>
        <w:t xml:space="preserve">por el que </w:t>
      </w:r>
      <w:r w:rsidRPr="006214C6">
        <w:rPr>
          <w:rFonts w:asciiTheme="majorHAnsi" w:hAnsiTheme="majorHAnsi"/>
        </w:rPr>
        <w:t>se constituye el Comité de Garantía de Acceso y Transparencia de la Información del Senado de la República</w:t>
      </w:r>
      <w:r>
        <w:rPr>
          <w:rFonts w:asciiTheme="majorHAnsi" w:hAnsiTheme="majorHAnsi"/>
        </w:rPr>
        <w:t>, que</w:t>
      </w:r>
      <w:r w:rsidRPr="006214C6">
        <w:rPr>
          <w:rFonts w:asciiTheme="majorHAnsi" w:hAnsiTheme="majorHAnsi"/>
        </w:rPr>
        <w:t xml:space="preserve"> señala </w:t>
      </w:r>
      <w:r>
        <w:rPr>
          <w:rFonts w:asciiTheme="majorHAnsi" w:hAnsiTheme="majorHAnsi"/>
        </w:rPr>
        <w:t xml:space="preserve">textualmente </w:t>
      </w:r>
      <w:r w:rsidRPr="006214C6">
        <w:rPr>
          <w:rFonts w:asciiTheme="majorHAnsi" w:hAnsiTheme="majorHAnsi"/>
        </w:rPr>
        <w:t>que es propósito de la LXII Legislatura del Senado de la República atender en forma debida el derecho que otorga la Constitución para que toda persona tenga acceso a la información que obra en posesión de esta Cámara Alta del Poder Legislativo Federal</w:t>
      </w:r>
      <w:r>
        <w:rPr>
          <w:rFonts w:asciiTheme="majorHAnsi" w:hAnsiTheme="majorHAnsi"/>
        </w:rPr>
        <w:t>.</w:t>
      </w:r>
    </w:p>
    <w:p w:rsidR="00DE671A" w:rsidRDefault="00DE671A" w:rsidP="00DE671A">
      <w:pPr>
        <w:jc w:val="both"/>
        <w:rPr>
          <w:rFonts w:asciiTheme="majorHAnsi" w:hAnsiTheme="majorHAnsi"/>
        </w:rPr>
      </w:pPr>
    </w:p>
    <w:p w:rsidR="0000709A" w:rsidRPr="00C35E7E" w:rsidRDefault="0000709A" w:rsidP="00F16001">
      <w:pPr>
        <w:jc w:val="both"/>
        <w:rPr>
          <w:rFonts w:asciiTheme="majorHAnsi" w:hAnsiTheme="majorHAnsi"/>
        </w:rPr>
      </w:pPr>
      <w:r w:rsidRPr="00C35E7E">
        <w:rPr>
          <w:rFonts w:asciiTheme="majorHAnsi" w:hAnsiTheme="majorHAnsi"/>
        </w:rPr>
        <w:t>Expuestos los considerandos anteriores, se aprueba el siguiente</w:t>
      </w:r>
    </w:p>
    <w:p w:rsidR="00C64C18" w:rsidRPr="00C35E7E" w:rsidRDefault="00C64C18" w:rsidP="00581300">
      <w:pPr>
        <w:rPr>
          <w:rFonts w:asciiTheme="majorHAnsi" w:hAnsiTheme="majorHAnsi"/>
        </w:rPr>
      </w:pPr>
    </w:p>
    <w:p w:rsidR="00581300" w:rsidRPr="00C35E7E" w:rsidRDefault="00581300" w:rsidP="00F16001">
      <w:pPr>
        <w:jc w:val="center"/>
        <w:rPr>
          <w:rFonts w:asciiTheme="majorHAnsi" w:hAnsiTheme="majorHAnsi"/>
          <w:b/>
        </w:rPr>
      </w:pPr>
      <w:r w:rsidRPr="00C35E7E">
        <w:rPr>
          <w:rFonts w:asciiTheme="majorHAnsi" w:hAnsiTheme="majorHAnsi"/>
          <w:b/>
        </w:rPr>
        <w:t>ACUERDO</w:t>
      </w:r>
    </w:p>
    <w:p w:rsidR="00C64C18" w:rsidRPr="00C35E7E" w:rsidRDefault="00C64C18" w:rsidP="00581300">
      <w:pPr>
        <w:rPr>
          <w:rFonts w:asciiTheme="majorHAnsi" w:hAnsiTheme="majorHAnsi"/>
        </w:rPr>
      </w:pPr>
    </w:p>
    <w:p w:rsidR="008776D8" w:rsidRDefault="000662D0" w:rsidP="008776D8">
      <w:pPr>
        <w:jc w:val="both"/>
        <w:rPr>
          <w:rFonts w:asciiTheme="majorHAnsi" w:hAnsiTheme="majorHAnsi"/>
        </w:rPr>
      </w:pPr>
      <w:r>
        <w:rPr>
          <w:rFonts w:asciiTheme="majorHAnsi" w:hAnsiTheme="majorHAnsi"/>
          <w:b/>
        </w:rPr>
        <w:t>PRIMERO</w:t>
      </w:r>
      <w:r>
        <w:rPr>
          <w:rFonts w:asciiTheme="majorHAnsi" w:hAnsiTheme="majorHAnsi"/>
        </w:rPr>
        <w:t xml:space="preserve">.- </w:t>
      </w:r>
      <w:r w:rsidR="0054039D">
        <w:rPr>
          <w:rFonts w:asciiTheme="majorHAnsi" w:hAnsiTheme="majorHAnsi"/>
        </w:rPr>
        <w:t>Se</w:t>
      </w:r>
      <w:r w:rsidRPr="000662D0">
        <w:rPr>
          <w:rFonts w:asciiTheme="majorHAnsi" w:hAnsiTheme="majorHAnsi"/>
        </w:rPr>
        <w:t xml:space="preserve"> </w:t>
      </w:r>
      <w:r w:rsidR="00E61A8C">
        <w:rPr>
          <w:rFonts w:asciiTheme="majorHAnsi" w:hAnsiTheme="majorHAnsi"/>
        </w:rPr>
        <w:t xml:space="preserve">recomienda respetuosamente a la </w:t>
      </w:r>
      <w:r w:rsidR="00DE671A">
        <w:rPr>
          <w:rFonts w:asciiTheme="majorHAnsi" w:hAnsiTheme="majorHAnsi"/>
        </w:rPr>
        <w:t>Secretaría General de Servicios Parlamentarios y a la Secretaría General de Servicios Administrativo</w:t>
      </w:r>
      <w:r w:rsidR="00762261">
        <w:rPr>
          <w:rFonts w:asciiTheme="majorHAnsi" w:hAnsiTheme="majorHAnsi"/>
        </w:rPr>
        <w:t>s</w:t>
      </w:r>
      <w:r w:rsidR="00DE671A">
        <w:rPr>
          <w:rFonts w:asciiTheme="majorHAnsi" w:hAnsiTheme="majorHAnsi"/>
        </w:rPr>
        <w:t xml:space="preserve"> </w:t>
      </w:r>
      <w:r w:rsidR="00E61A8C">
        <w:rPr>
          <w:rFonts w:asciiTheme="majorHAnsi" w:hAnsiTheme="majorHAnsi"/>
        </w:rPr>
        <w:t>que</w:t>
      </w:r>
      <w:r w:rsidR="006214C6">
        <w:rPr>
          <w:rFonts w:asciiTheme="majorHAnsi" w:hAnsiTheme="majorHAnsi"/>
        </w:rPr>
        <w:t>,</w:t>
      </w:r>
      <w:r w:rsidR="00E61A8C">
        <w:rPr>
          <w:rFonts w:asciiTheme="majorHAnsi" w:hAnsiTheme="majorHAnsi"/>
        </w:rPr>
        <w:t xml:space="preserve"> en ejercicio de sus atribuciones y de acuerdo a la normatividad aplicable</w:t>
      </w:r>
      <w:r w:rsidR="006214C6">
        <w:rPr>
          <w:rFonts w:asciiTheme="majorHAnsi" w:hAnsiTheme="majorHAnsi"/>
        </w:rPr>
        <w:t>,</w:t>
      </w:r>
      <w:r w:rsidR="00E61A8C">
        <w:rPr>
          <w:rFonts w:asciiTheme="majorHAnsi" w:hAnsiTheme="majorHAnsi"/>
        </w:rPr>
        <w:t xml:space="preserve"> considere</w:t>
      </w:r>
      <w:r w:rsidR="00DE671A">
        <w:rPr>
          <w:rFonts w:asciiTheme="majorHAnsi" w:hAnsiTheme="majorHAnsi"/>
        </w:rPr>
        <w:t>n</w:t>
      </w:r>
      <w:r w:rsidR="00E61A8C">
        <w:rPr>
          <w:rFonts w:asciiTheme="majorHAnsi" w:hAnsiTheme="majorHAnsi"/>
        </w:rPr>
        <w:t xml:space="preserve"> </w:t>
      </w:r>
      <w:r w:rsidR="006214C6">
        <w:rPr>
          <w:rFonts w:asciiTheme="majorHAnsi" w:hAnsiTheme="majorHAnsi"/>
        </w:rPr>
        <w:t>llevar a cabo las</w:t>
      </w:r>
      <w:r w:rsidR="00E61A8C">
        <w:rPr>
          <w:rFonts w:asciiTheme="majorHAnsi" w:hAnsiTheme="majorHAnsi"/>
        </w:rPr>
        <w:t xml:space="preserve"> siguientes actividades:</w:t>
      </w:r>
    </w:p>
    <w:p w:rsidR="008776D8" w:rsidRDefault="008776D8" w:rsidP="008776D8">
      <w:pPr>
        <w:jc w:val="both"/>
        <w:rPr>
          <w:rFonts w:asciiTheme="majorHAnsi" w:hAnsiTheme="majorHAnsi"/>
        </w:rPr>
      </w:pPr>
    </w:p>
    <w:p w:rsidR="009D142F" w:rsidRDefault="00E61A8C" w:rsidP="009D142F">
      <w:pPr>
        <w:pStyle w:val="Prrafodelista"/>
        <w:numPr>
          <w:ilvl w:val="0"/>
          <w:numId w:val="11"/>
        </w:numPr>
        <w:jc w:val="both"/>
        <w:rPr>
          <w:rFonts w:asciiTheme="majorHAnsi" w:hAnsiTheme="majorHAnsi"/>
        </w:rPr>
      </w:pPr>
      <w:r w:rsidRPr="009D142F">
        <w:rPr>
          <w:rFonts w:asciiTheme="majorHAnsi" w:hAnsiTheme="majorHAnsi"/>
        </w:rPr>
        <w:t>Realice</w:t>
      </w:r>
      <w:r w:rsidR="009D142F" w:rsidRPr="009D142F">
        <w:rPr>
          <w:rFonts w:asciiTheme="majorHAnsi" w:hAnsiTheme="majorHAnsi"/>
        </w:rPr>
        <w:t>n las gestiones necesaria</w:t>
      </w:r>
      <w:r w:rsidR="009D142F">
        <w:rPr>
          <w:rFonts w:asciiTheme="majorHAnsi" w:hAnsiTheme="majorHAnsi"/>
        </w:rPr>
        <w:t>s</w:t>
      </w:r>
      <w:r w:rsidR="009D142F" w:rsidRPr="009D142F">
        <w:rPr>
          <w:rFonts w:asciiTheme="majorHAnsi" w:hAnsiTheme="majorHAnsi"/>
        </w:rPr>
        <w:t xml:space="preserve"> para la sistematización de la información parlamentaria mediante un registro alfanumérico de los documentos legislativos que se publican en el sitio web del Senado de la Rep</w:t>
      </w:r>
      <w:r w:rsidR="009D142F">
        <w:rPr>
          <w:rFonts w:asciiTheme="majorHAnsi" w:hAnsiTheme="majorHAnsi"/>
        </w:rPr>
        <w:t xml:space="preserve">ública, </w:t>
      </w:r>
      <w:r w:rsidR="009D142F" w:rsidRPr="009D142F">
        <w:rPr>
          <w:rFonts w:asciiTheme="majorHAnsi" w:hAnsiTheme="majorHAnsi"/>
        </w:rPr>
        <w:t xml:space="preserve"> </w:t>
      </w:r>
    </w:p>
    <w:p w:rsidR="00DE671A" w:rsidRDefault="009D142F" w:rsidP="009D142F">
      <w:pPr>
        <w:pStyle w:val="Prrafodelista"/>
        <w:numPr>
          <w:ilvl w:val="0"/>
          <w:numId w:val="11"/>
        </w:numPr>
        <w:jc w:val="both"/>
        <w:rPr>
          <w:rFonts w:asciiTheme="majorHAnsi" w:hAnsiTheme="majorHAnsi"/>
        </w:rPr>
      </w:pPr>
      <w:r>
        <w:rPr>
          <w:rFonts w:asciiTheme="majorHAnsi" w:hAnsiTheme="majorHAnsi"/>
        </w:rPr>
        <w:t>Realicen las gestiones necesaria</w:t>
      </w:r>
      <w:r w:rsidRPr="009D142F">
        <w:rPr>
          <w:rFonts w:asciiTheme="majorHAnsi" w:hAnsiTheme="majorHAnsi"/>
        </w:rPr>
        <w:t>s para que se establezcan lineamientos internos para el registro</w:t>
      </w:r>
      <w:r>
        <w:rPr>
          <w:rFonts w:asciiTheme="majorHAnsi" w:hAnsiTheme="majorHAnsi"/>
        </w:rPr>
        <w:t xml:space="preserve"> y sistematización</w:t>
      </w:r>
      <w:r w:rsidRPr="009D142F">
        <w:rPr>
          <w:rFonts w:asciiTheme="majorHAnsi" w:hAnsiTheme="majorHAnsi"/>
        </w:rPr>
        <w:t xml:space="preserve"> de la documentación que publica el Senado en medios electrónicos y se considere la posibilidad de realizar un diagnóstico general sobre los sistemas de búsqueda dentro del Sitio Web, con el fin de contar con un Buscador especializ</w:t>
      </w:r>
      <w:r w:rsidR="00762261">
        <w:rPr>
          <w:rFonts w:asciiTheme="majorHAnsi" w:hAnsiTheme="majorHAnsi"/>
        </w:rPr>
        <w:t xml:space="preserve">ado que permita la búsqueda de </w:t>
      </w:r>
      <w:r w:rsidRPr="009D142F">
        <w:rPr>
          <w:rFonts w:asciiTheme="majorHAnsi" w:hAnsiTheme="majorHAnsi"/>
        </w:rPr>
        <w:t>información de manera sencilla, eficaz y completa.</w:t>
      </w:r>
    </w:p>
    <w:p w:rsidR="009D142F" w:rsidRPr="009D142F" w:rsidRDefault="009D142F" w:rsidP="009D142F">
      <w:pPr>
        <w:pStyle w:val="Prrafodelista"/>
        <w:numPr>
          <w:ilvl w:val="0"/>
          <w:numId w:val="11"/>
        </w:numPr>
        <w:jc w:val="both"/>
        <w:rPr>
          <w:rFonts w:asciiTheme="majorHAnsi" w:hAnsiTheme="majorHAnsi"/>
        </w:rPr>
      </w:pPr>
      <w:r>
        <w:rPr>
          <w:rFonts w:asciiTheme="majorHAnsi" w:hAnsiTheme="majorHAnsi"/>
        </w:rPr>
        <w:t>Realicen</w:t>
      </w:r>
      <w:r w:rsidRPr="009D142F">
        <w:rPr>
          <w:rFonts w:asciiTheme="majorHAnsi" w:hAnsiTheme="majorHAnsi"/>
        </w:rPr>
        <w:t xml:space="preserve"> las gestiones necesarias para que en la página web del Senado se cuente con una base de datos actualizada, sencilla y con una interfaz adecuada para el usuario, en la que se presente la información relativa a las votaciones de los asuntos que son analizados en el Pleno del Senado</w:t>
      </w:r>
      <w:r>
        <w:rPr>
          <w:rFonts w:asciiTheme="majorHAnsi" w:hAnsiTheme="majorHAnsi"/>
        </w:rPr>
        <w:t>.</w:t>
      </w:r>
    </w:p>
    <w:p w:rsidR="00E61A8C" w:rsidRPr="00DE671A" w:rsidRDefault="00E61A8C" w:rsidP="00DE671A">
      <w:pPr>
        <w:jc w:val="both"/>
        <w:rPr>
          <w:rFonts w:asciiTheme="majorHAnsi" w:hAnsiTheme="majorHAnsi"/>
        </w:rPr>
      </w:pPr>
      <w:r w:rsidRPr="00DE671A">
        <w:rPr>
          <w:rFonts w:asciiTheme="majorHAnsi" w:hAnsiTheme="majorHAnsi"/>
          <w:b/>
        </w:rPr>
        <w:t xml:space="preserve">SEGUNDO.- </w:t>
      </w:r>
      <w:r w:rsidRPr="00DE671A">
        <w:rPr>
          <w:rFonts w:asciiTheme="majorHAnsi" w:hAnsiTheme="majorHAnsi"/>
        </w:rPr>
        <w:t xml:space="preserve">Se solicita atentamente sea informado este Comité sobre las acciones llevadas a cabo en seguimiento a las recomendaciones señaladas en el acuerdo anterior, con el objetivo de tener los elementos necesarios para ejercer la facultad de vigilancia en materia de transparencia y acceso a la información que forma parte de sus atribuciones. </w:t>
      </w:r>
    </w:p>
    <w:p w:rsidR="005A4565" w:rsidRPr="009D142F" w:rsidRDefault="005A4565" w:rsidP="003669F7">
      <w:pPr>
        <w:jc w:val="both"/>
        <w:rPr>
          <w:rFonts w:asciiTheme="majorHAnsi" w:hAnsiTheme="majorHAnsi"/>
        </w:rPr>
      </w:pPr>
    </w:p>
    <w:p w:rsidR="00313979" w:rsidRPr="00762261" w:rsidRDefault="00762261" w:rsidP="00762261">
      <w:pPr>
        <w:jc w:val="center"/>
        <w:rPr>
          <w:rFonts w:asciiTheme="majorHAnsi" w:hAnsiTheme="majorHAnsi"/>
          <w:lang w:val="es-ES"/>
        </w:rPr>
      </w:pPr>
      <w:r w:rsidRPr="00762261">
        <w:rPr>
          <w:rFonts w:asciiTheme="majorHAnsi" w:hAnsiTheme="majorHAnsi"/>
          <w:lang w:val="es-ES"/>
        </w:rPr>
        <w:t>México, D.F. a 17 de abril de 2013.</w:t>
      </w:r>
    </w:p>
    <w:p w:rsidR="00762261" w:rsidRPr="00C35E7E" w:rsidRDefault="00762261" w:rsidP="003669F7">
      <w:pPr>
        <w:jc w:val="both"/>
        <w:rPr>
          <w:rFonts w:asciiTheme="majorHAnsi" w:hAnsiTheme="majorHAnsi"/>
          <w:lang w:val="es-ES"/>
        </w:rPr>
      </w:pPr>
    </w:p>
    <w:p w:rsidR="00762261" w:rsidRDefault="00762261" w:rsidP="00216D54">
      <w:pPr>
        <w:jc w:val="center"/>
        <w:rPr>
          <w:rFonts w:asciiTheme="majorHAnsi" w:hAnsiTheme="majorHAnsi" w:cs="Arial"/>
          <w:b/>
        </w:rPr>
      </w:pPr>
    </w:p>
    <w:p w:rsidR="00762261" w:rsidRDefault="00762261" w:rsidP="00216D54">
      <w:pPr>
        <w:jc w:val="center"/>
        <w:rPr>
          <w:rFonts w:asciiTheme="majorHAnsi" w:hAnsiTheme="majorHAnsi" w:cs="Arial"/>
          <w:b/>
        </w:rPr>
      </w:pPr>
    </w:p>
    <w:p w:rsidR="00762261" w:rsidRDefault="00762261" w:rsidP="00216D54">
      <w:pPr>
        <w:jc w:val="center"/>
        <w:rPr>
          <w:rFonts w:asciiTheme="majorHAnsi" w:hAnsiTheme="majorHAnsi" w:cs="Arial"/>
          <w:b/>
        </w:r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ARELY GÓMEZ GONZÁLEZ</w:t>
      </w:r>
    </w:p>
    <w:p w:rsidR="00D24E9F" w:rsidRPr="00C35E7E" w:rsidRDefault="00D24E9F" w:rsidP="00216D54">
      <w:pPr>
        <w:jc w:val="center"/>
        <w:rPr>
          <w:rFonts w:asciiTheme="majorHAnsi" w:hAnsiTheme="majorHAnsi" w:cs="Arial"/>
          <w:b/>
        </w:rPr>
      </w:pPr>
      <w:r w:rsidRPr="00C35E7E">
        <w:rPr>
          <w:rFonts w:asciiTheme="majorHAnsi" w:hAnsiTheme="majorHAnsi" w:cs="Arial"/>
          <w:b/>
        </w:rPr>
        <w:t>PRESIDENTE</w:t>
      </w:r>
    </w:p>
    <w:p w:rsidR="00216D54" w:rsidRPr="00C35E7E" w:rsidRDefault="00216D54" w:rsidP="00D24E9F">
      <w:pPr>
        <w:jc w:val="both"/>
        <w:rPr>
          <w:rFonts w:asciiTheme="majorHAnsi" w:hAnsiTheme="majorHAnsi" w:cs="Arial"/>
          <w:b/>
        </w:rPr>
      </w:pPr>
    </w:p>
    <w:p w:rsidR="005A4565" w:rsidRDefault="005A4565" w:rsidP="00D24E9F">
      <w:pPr>
        <w:jc w:val="both"/>
        <w:rPr>
          <w:rFonts w:asciiTheme="majorHAnsi" w:hAnsiTheme="majorHAnsi" w:cs="Arial"/>
          <w:b/>
        </w:rPr>
      </w:pPr>
    </w:p>
    <w:p w:rsidR="00762261" w:rsidRPr="00C35E7E" w:rsidRDefault="00762261"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pPr>
    </w:p>
    <w:p w:rsidR="005A4565" w:rsidRPr="00C35E7E" w:rsidRDefault="005A4565" w:rsidP="00D24E9F">
      <w:pPr>
        <w:jc w:val="both"/>
        <w:rPr>
          <w:rFonts w:asciiTheme="majorHAnsi" w:hAnsiTheme="majorHAnsi" w:cs="Arial"/>
          <w:b/>
        </w:rPr>
        <w:sectPr w:rsidR="005A4565" w:rsidRPr="00C35E7E" w:rsidSect="00762261">
          <w:headerReference w:type="even" r:id="rId8"/>
          <w:headerReference w:type="default" r:id="rId9"/>
          <w:footerReference w:type="default" r:id="rId10"/>
          <w:type w:val="continuous"/>
          <w:pgSz w:w="12240" w:h="15840"/>
          <w:pgMar w:top="1944" w:right="1701" w:bottom="1417" w:left="1701" w:header="720" w:footer="720" w:gutter="0"/>
          <w:cols w:space="720"/>
          <w:noEndnote/>
        </w:sect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SALVADOR VEGA CASILLAS</w:t>
      </w:r>
    </w:p>
    <w:p w:rsidR="00D24E9F" w:rsidRPr="00C35E7E" w:rsidRDefault="00D24E9F" w:rsidP="00216D54">
      <w:pPr>
        <w:jc w:val="center"/>
        <w:rPr>
          <w:rFonts w:asciiTheme="majorHAnsi" w:hAnsiTheme="majorHAnsi" w:cs="Arial"/>
          <w:b/>
        </w:rPr>
      </w:pPr>
      <w:r w:rsidRPr="00C35E7E">
        <w:rPr>
          <w:rFonts w:asciiTheme="majorHAnsi" w:hAnsiTheme="majorHAnsi" w:cs="Arial"/>
          <w:b/>
        </w:rPr>
        <w:t>SECRETARIO</w:t>
      </w:r>
    </w:p>
    <w:p w:rsidR="00D24E9F" w:rsidRPr="00C35E7E" w:rsidRDefault="00D24E9F" w:rsidP="00216D54">
      <w:pPr>
        <w:jc w:val="center"/>
        <w:rPr>
          <w:rFonts w:asciiTheme="majorHAnsi" w:hAnsiTheme="majorHAnsi" w:cs="Arial"/>
          <w:b/>
        </w:rPr>
      </w:pPr>
      <w:r w:rsidRPr="00C35E7E">
        <w:rPr>
          <w:rFonts w:asciiTheme="majorHAnsi" w:hAnsiTheme="majorHAnsi" w:cs="Arial"/>
          <w:b/>
        </w:rPr>
        <w:t>SEN. ANGÉLICA DE LA PEÑA GÓMEZ</w:t>
      </w:r>
    </w:p>
    <w:p w:rsidR="00216D54" w:rsidRPr="00C35E7E" w:rsidRDefault="00D24E9F" w:rsidP="00216D54">
      <w:pPr>
        <w:jc w:val="center"/>
        <w:rPr>
          <w:rFonts w:asciiTheme="majorHAnsi" w:hAnsiTheme="majorHAnsi" w:cs="Arial"/>
          <w:b/>
        </w:rPr>
      </w:pPr>
      <w:r w:rsidRPr="00C35E7E">
        <w:rPr>
          <w:rFonts w:asciiTheme="majorHAnsi" w:hAnsiTheme="majorHAnsi" w:cs="Arial"/>
          <w:b/>
        </w:rPr>
        <w:t>SECRETARIA</w:t>
      </w:r>
    </w:p>
    <w:p w:rsidR="00216D54" w:rsidRPr="00C35E7E" w:rsidRDefault="00216D54" w:rsidP="00D24E9F">
      <w:pPr>
        <w:jc w:val="both"/>
        <w:rPr>
          <w:rFonts w:asciiTheme="majorHAnsi" w:hAnsiTheme="majorHAnsi" w:cs="Arial"/>
          <w:b/>
        </w:rPr>
        <w:sectPr w:rsidR="00216D54" w:rsidRPr="00C35E7E" w:rsidSect="00762261">
          <w:type w:val="continuous"/>
          <w:pgSz w:w="12240" w:h="15840"/>
          <w:pgMar w:top="1944" w:right="1701" w:bottom="1417" w:left="1701" w:header="720" w:footer="720" w:gutter="0"/>
          <w:cols w:num="2" w:space="720"/>
          <w:noEndnote/>
        </w:sectPr>
      </w:pPr>
    </w:p>
    <w:p w:rsidR="00216D54" w:rsidRDefault="00216D54" w:rsidP="00D24E9F">
      <w:pPr>
        <w:jc w:val="both"/>
        <w:rPr>
          <w:rFonts w:asciiTheme="majorHAnsi" w:hAnsiTheme="majorHAnsi" w:cs="Arial"/>
          <w:b/>
        </w:rPr>
      </w:pPr>
    </w:p>
    <w:p w:rsidR="00762261" w:rsidRDefault="00762261" w:rsidP="00D24E9F">
      <w:pPr>
        <w:jc w:val="both"/>
        <w:rPr>
          <w:rFonts w:asciiTheme="majorHAnsi" w:hAnsiTheme="majorHAnsi" w:cs="Arial"/>
          <w:b/>
        </w:rPr>
      </w:pPr>
    </w:p>
    <w:p w:rsidR="00762261" w:rsidRDefault="00762261" w:rsidP="00D24E9F">
      <w:pPr>
        <w:jc w:val="both"/>
        <w:rPr>
          <w:rFonts w:asciiTheme="majorHAnsi" w:hAnsiTheme="majorHAnsi" w:cs="Arial"/>
          <w:b/>
        </w:rPr>
      </w:pPr>
    </w:p>
    <w:p w:rsidR="00AB6673" w:rsidRDefault="00AB6673" w:rsidP="00D24E9F">
      <w:pPr>
        <w:jc w:val="both"/>
        <w:rPr>
          <w:rFonts w:asciiTheme="majorHAnsi" w:hAnsiTheme="majorHAnsi" w:cs="Arial"/>
          <w:b/>
        </w:rPr>
      </w:pPr>
    </w:p>
    <w:p w:rsidR="00216D54" w:rsidRPr="00C35E7E" w:rsidRDefault="00216D54" w:rsidP="00D24E9F">
      <w:pPr>
        <w:jc w:val="both"/>
        <w:rPr>
          <w:rFonts w:asciiTheme="majorHAnsi" w:hAnsiTheme="majorHAnsi" w:cs="Arial"/>
          <w:b/>
        </w:rPr>
        <w:sectPr w:rsidR="00216D54" w:rsidRPr="00C35E7E" w:rsidSect="00762261">
          <w:type w:val="continuous"/>
          <w:pgSz w:w="12240" w:h="15840"/>
          <w:pgMar w:top="1944" w:right="1701" w:bottom="1417" w:left="1701" w:header="720" w:footer="720" w:gutter="0"/>
          <w:cols w:space="720"/>
          <w:noEndnote/>
        </w:sectPr>
      </w:pPr>
    </w:p>
    <w:p w:rsidR="00D24E9F" w:rsidRPr="00C35E7E" w:rsidRDefault="00D24E9F" w:rsidP="00216D54">
      <w:pPr>
        <w:jc w:val="center"/>
        <w:rPr>
          <w:rFonts w:asciiTheme="majorHAnsi" w:hAnsiTheme="majorHAnsi" w:cs="Arial"/>
          <w:b/>
        </w:rPr>
      </w:pPr>
      <w:r w:rsidRPr="00C35E7E">
        <w:rPr>
          <w:rFonts w:asciiTheme="majorHAnsi" w:hAnsiTheme="majorHAnsi" w:cs="Arial"/>
          <w:b/>
        </w:rPr>
        <w:t>SEN. JUAN GERARDO FLORES RAMÍREZ</w:t>
      </w:r>
    </w:p>
    <w:p w:rsidR="00D24E9F" w:rsidRPr="00C35E7E" w:rsidRDefault="00D24E9F" w:rsidP="00216D54">
      <w:pPr>
        <w:jc w:val="center"/>
        <w:rPr>
          <w:rFonts w:asciiTheme="majorHAnsi" w:hAnsiTheme="majorHAnsi" w:cs="Arial"/>
          <w:b/>
        </w:rPr>
      </w:pPr>
      <w:r w:rsidRPr="00C35E7E">
        <w:rPr>
          <w:rFonts w:asciiTheme="majorHAnsi" w:hAnsiTheme="majorHAnsi" w:cs="Arial"/>
          <w:b/>
        </w:rPr>
        <w:t>INTEGRANTE</w:t>
      </w:r>
    </w:p>
    <w:p w:rsidR="00D24E9F" w:rsidRPr="00C35E7E" w:rsidRDefault="00762261" w:rsidP="00216D54">
      <w:pPr>
        <w:jc w:val="center"/>
        <w:rPr>
          <w:rFonts w:asciiTheme="majorHAnsi" w:hAnsiTheme="majorHAnsi" w:cs="Arial"/>
          <w:b/>
        </w:rPr>
      </w:pPr>
      <w:r>
        <w:rPr>
          <w:rFonts w:asciiTheme="majorHAnsi" w:hAnsiTheme="majorHAnsi" w:cs="Arial"/>
          <w:b/>
        </w:rPr>
        <w:t xml:space="preserve">SEN. </w:t>
      </w:r>
      <w:r w:rsidR="00D24E9F" w:rsidRPr="00C35E7E">
        <w:rPr>
          <w:rFonts w:asciiTheme="majorHAnsi" w:hAnsiTheme="majorHAnsi" w:cs="Arial"/>
          <w:b/>
        </w:rPr>
        <w:t>MARTHA PALAFOX GUTIÉRREZ</w:t>
      </w:r>
    </w:p>
    <w:p w:rsidR="00216D54" w:rsidRPr="00762261" w:rsidRDefault="00762261" w:rsidP="00AB6673">
      <w:pPr>
        <w:jc w:val="center"/>
        <w:rPr>
          <w:rFonts w:asciiTheme="majorHAnsi" w:hAnsiTheme="majorHAnsi" w:cs="Arial"/>
          <w:b/>
          <w:sz w:val="12"/>
        </w:rPr>
        <w:sectPr w:rsidR="00216D54" w:rsidRPr="00762261" w:rsidSect="00762261">
          <w:type w:val="continuous"/>
          <w:pgSz w:w="12240" w:h="15840"/>
          <w:pgMar w:top="1944" w:right="1701" w:bottom="1417" w:left="1701" w:header="720" w:footer="720" w:gutter="0"/>
          <w:cols w:num="2" w:space="720"/>
          <w:noEndnote/>
        </w:sectPr>
      </w:pPr>
      <w:r>
        <w:rPr>
          <w:rFonts w:asciiTheme="majorHAnsi" w:hAnsiTheme="majorHAnsi" w:cs="Arial"/>
          <w:b/>
        </w:rPr>
        <w:t>INTEGRANTE</w:t>
      </w:r>
    </w:p>
    <w:p w:rsidR="00216D54" w:rsidRPr="00C35E7E" w:rsidRDefault="00216D54" w:rsidP="00561294">
      <w:pPr>
        <w:jc w:val="both"/>
        <w:rPr>
          <w:rFonts w:asciiTheme="majorHAnsi" w:hAnsiTheme="majorHAnsi" w:cs="Arial"/>
          <w:b/>
          <w:lang w:val="es-MX"/>
        </w:rPr>
      </w:pPr>
    </w:p>
    <w:sectPr w:rsidR="00216D54" w:rsidRPr="00C35E7E" w:rsidSect="00216D54">
      <w:type w:val="continuous"/>
      <w:pgSz w:w="12240" w:h="15840"/>
      <w:pgMar w:top="2091"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F0" w:rsidRDefault="00F97FF0" w:rsidP="00D24E9F">
      <w:r>
        <w:separator/>
      </w:r>
    </w:p>
  </w:endnote>
  <w:endnote w:type="continuationSeparator" w:id="0">
    <w:p w:rsidR="00F97FF0" w:rsidRDefault="00F97FF0" w:rsidP="00D2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B43F48">
    <w:pPr>
      <w:pStyle w:val="Piedepgina"/>
      <w:jc w:val="right"/>
    </w:pPr>
    <w:r>
      <w:fldChar w:fldCharType="begin"/>
    </w:r>
    <w:r w:rsidR="008776D8">
      <w:instrText xml:space="preserve"> PAGE   \* MERGEFORMAT </w:instrText>
    </w:r>
    <w:r>
      <w:fldChar w:fldCharType="separate"/>
    </w:r>
    <w:r w:rsidR="00F97FF0">
      <w:rPr>
        <w:noProof/>
      </w:rPr>
      <w:t>1</w:t>
    </w:r>
    <w:r>
      <w:fldChar w:fldCharType="end"/>
    </w:r>
  </w:p>
  <w:p w:rsidR="008776D8" w:rsidRDefault="008776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F0" w:rsidRDefault="00F97FF0" w:rsidP="00D24E9F">
      <w:r>
        <w:separator/>
      </w:r>
    </w:p>
  </w:footnote>
  <w:footnote w:type="continuationSeparator" w:id="0">
    <w:p w:rsidR="00F97FF0" w:rsidRDefault="00F97FF0" w:rsidP="00D2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B43F48" w:rsidP="00D24E9F">
    <w:pPr>
      <w:pStyle w:val="Encabezado"/>
      <w:framePr w:wrap="around" w:vAnchor="text" w:hAnchor="margin" w:xAlign="right" w:y="1"/>
      <w:rPr>
        <w:rStyle w:val="Nmerodepgina"/>
      </w:rPr>
    </w:pPr>
    <w:r>
      <w:rPr>
        <w:rStyle w:val="Nmerodepgina"/>
      </w:rPr>
      <w:fldChar w:fldCharType="begin"/>
    </w:r>
    <w:r w:rsidR="008776D8">
      <w:rPr>
        <w:rStyle w:val="Nmerodepgina"/>
      </w:rPr>
      <w:instrText xml:space="preserve">PAGE  </w:instrText>
    </w:r>
    <w:r>
      <w:rPr>
        <w:rStyle w:val="Nmerodepgina"/>
      </w:rPr>
      <w:fldChar w:fldCharType="end"/>
    </w:r>
  </w:p>
  <w:p w:rsidR="008776D8" w:rsidRDefault="008776D8" w:rsidP="00D24E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D8" w:rsidRDefault="00B43F48">
    <w:pPr>
      <w:pStyle w:val="Encabezado"/>
    </w:pPr>
    <w:r>
      <w:rPr>
        <w:noProof/>
        <w:lang w:val="es-ES"/>
      </w:rPr>
      <w:pict>
        <v:shapetype id="_x0000_t202" coordsize="21600,21600" o:spt="202" path="m,l,21600r21600,l21600,xe">
          <v:stroke joinstyle="miter"/>
          <v:path gradientshapeok="t" o:connecttype="rect"/>
        </v:shapetype>
        <v:shape id="Text Box 4" o:spid="_x0000_s4097" type="#_x0000_t202" style="position:absolute;margin-left:71.25pt;margin-top:-3.95pt;width:391.95pt;height:49.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MioMCAAAP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" stroked="f">
          <v:textbox>
            <w:txbxContent>
              <w:p w:rsidR="008776D8" w:rsidRDefault="008776D8" w:rsidP="00D24E9F">
                <w:pPr>
                  <w:jc w:val="center"/>
                  <w:rPr>
                    <w:b/>
                    <w:smallCaps/>
                    <w:sz w:val="36"/>
                    <w:lang w:val="es-MX"/>
                  </w:rPr>
                </w:pPr>
                <w:r w:rsidRPr="009A7995">
                  <w:rPr>
                    <w:b/>
                    <w:smallCaps/>
                    <w:sz w:val="36"/>
                    <w:lang w:val="es-MX"/>
                  </w:rPr>
                  <w:t>Comité de Garantía de Acceso y Transparencia de la Información</w:t>
                </w:r>
              </w:p>
              <w:p w:rsidR="008776D8" w:rsidRPr="009A7995" w:rsidRDefault="008776D8" w:rsidP="00D24E9F">
                <w:pPr>
                  <w:jc w:val="center"/>
                  <w:rPr>
                    <w:b/>
                    <w:smallCaps/>
                    <w:sz w:val="36"/>
                    <w:lang w:val="es-MX"/>
                  </w:rPr>
                </w:pPr>
              </w:p>
              <w:p w:rsidR="008776D8" w:rsidRPr="006E3B16" w:rsidRDefault="008776D8" w:rsidP="00D24E9F">
                <w:pPr>
                  <w:jc w:val="center"/>
                  <w:rPr>
                    <w:b/>
                    <w:smallCaps/>
                    <w:spacing w:val="60"/>
                    <w:sz w:val="40"/>
                    <w:lang w:val="es-MX"/>
                  </w:rPr>
                </w:pPr>
                <w:r>
                  <w:rPr>
                    <w:b/>
                    <w:smallCaps/>
                    <w:spacing w:val="60"/>
                    <w:sz w:val="40"/>
                    <w:lang w:val="es-MX"/>
                  </w:rPr>
                  <w:t xml:space="preserve"> -</w:t>
                </w:r>
                <w:r w:rsidRPr="006E3B16">
                  <w:rPr>
                    <w:b/>
                    <w:smallCaps/>
                    <w:spacing w:val="60"/>
                    <w:sz w:val="40"/>
                    <w:lang w:val="es-MX"/>
                  </w:rPr>
                  <w:t>COGATI</w:t>
                </w:r>
                <w:r>
                  <w:rPr>
                    <w:b/>
                    <w:smallCaps/>
                    <w:spacing w:val="60"/>
                    <w:sz w:val="40"/>
                    <w:lang w:val="es-MX"/>
                  </w:rPr>
                  <w:t>-</w:t>
                </w:r>
              </w:p>
            </w:txbxContent>
          </v:textbox>
        </v:shape>
      </w:pict>
    </w:r>
    <w:r w:rsidR="008776D8">
      <w:rPr>
        <w:noProof/>
        <w:lang w:val="es-ES"/>
      </w:rPr>
      <w:drawing>
        <wp:anchor distT="0" distB="0" distL="114300" distR="114300" simplePos="0" relativeHeight="251657216" behindDoc="0" locked="0" layoutInCell="1" allowOverlap="1">
          <wp:simplePos x="0" y="0"/>
          <wp:positionH relativeFrom="column">
            <wp:posOffset>-114935</wp:posOffset>
          </wp:positionH>
          <wp:positionV relativeFrom="paragraph">
            <wp:posOffset>-306705</wp:posOffset>
          </wp:positionV>
          <wp:extent cx="990600" cy="993775"/>
          <wp:effectExtent l="0" t="0" r="0" b="0"/>
          <wp:wrapNone/>
          <wp:docPr id="3"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90600" cy="993775"/>
                  </a:xfrm>
                  <a:prstGeom prst="rect">
                    <a:avLst/>
                  </a:prstGeom>
                  <a:noFill/>
                </pic:spPr>
              </pic:pic>
            </a:graphicData>
          </a:graphic>
        </wp:anchor>
      </w:drawing>
    </w:r>
  </w:p>
  <w:p w:rsidR="008776D8" w:rsidRDefault="008776D8" w:rsidP="00D24E9F">
    <w:pPr>
      <w:jc w:val="right"/>
      <w:rPr>
        <w:rFonts w:ascii="Arial" w:hAnsi="Arial" w:cs="Arial"/>
        <w:b/>
        <w:sz w:val="26"/>
        <w:szCs w:val="26"/>
      </w:rPr>
    </w:pPr>
  </w:p>
  <w:p w:rsidR="008776D8" w:rsidRDefault="008776D8" w:rsidP="00D24E9F">
    <w:pPr>
      <w:jc w:val="right"/>
      <w:rPr>
        <w:rFonts w:ascii="Arial" w:hAnsi="Arial" w:cs="Arial"/>
        <w:sz w:val="22"/>
        <w:szCs w:val="26"/>
      </w:rPr>
    </w:pPr>
  </w:p>
  <w:p w:rsidR="008776D8" w:rsidRPr="0056297B" w:rsidRDefault="008776D8" w:rsidP="00D24E9F">
    <w:pP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C8C"/>
    <w:multiLevelType w:val="hybridMultilevel"/>
    <w:tmpl w:val="460222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E17AD0"/>
    <w:multiLevelType w:val="hybridMultilevel"/>
    <w:tmpl w:val="9C24AD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F34F9"/>
    <w:multiLevelType w:val="hybridMultilevel"/>
    <w:tmpl w:val="F9746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A635EE"/>
    <w:multiLevelType w:val="hybridMultilevel"/>
    <w:tmpl w:val="6240B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C2794D"/>
    <w:multiLevelType w:val="hybridMultilevel"/>
    <w:tmpl w:val="8DAC74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9A1F2F"/>
    <w:multiLevelType w:val="hybridMultilevel"/>
    <w:tmpl w:val="F6E2CEE8"/>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4352A16"/>
    <w:multiLevelType w:val="hybridMultilevel"/>
    <w:tmpl w:val="93E8B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2B71D5"/>
    <w:multiLevelType w:val="hybridMultilevel"/>
    <w:tmpl w:val="00B6A2F8"/>
    <w:lvl w:ilvl="0" w:tplc="88DCFC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816799"/>
    <w:multiLevelType w:val="hybridMultilevel"/>
    <w:tmpl w:val="DA2EC31C"/>
    <w:lvl w:ilvl="0" w:tplc="05B425A6">
      <w:start w:val="1"/>
      <w:numFmt w:val="decimal"/>
      <w:lvlText w:val="%1."/>
      <w:lvlJc w:val="left"/>
      <w:pPr>
        <w:ind w:left="1020" w:hanging="10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9EC2FB9"/>
    <w:multiLevelType w:val="hybridMultilevel"/>
    <w:tmpl w:val="73F4E29E"/>
    <w:lvl w:ilvl="0" w:tplc="0C0A0019">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EC019F"/>
    <w:multiLevelType w:val="hybridMultilevel"/>
    <w:tmpl w:val="05A271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1"/>
  </w:num>
  <w:num w:numId="6">
    <w:abstractNumId w:val="3"/>
  </w:num>
  <w:num w:numId="7">
    <w:abstractNumId w:val="6"/>
  </w:num>
  <w:num w:numId="8">
    <w:abstractNumId w:val="7"/>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BC327D"/>
    <w:rsid w:val="0000709A"/>
    <w:rsid w:val="00022BB0"/>
    <w:rsid w:val="000437E6"/>
    <w:rsid w:val="000662D0"/>
    <w:rsid w:val="00081DDD"/>
    <w:rsid w:val="000B5C8B"/>
    <w:rsid w:val="00130419"/>
    <w:rsid w:val="001B6D4C"/>
    <w:rsid w:val="001B7EC9"/>
    <w:rsid w:val="001C40C1"/>
    <w:rsid w:val="001D5F2A"/>
    <w:rsid w:val="00216D54"/>
    <w:rsid w:val="00261AFD"/>
    <w:rsid w:val="00286B76"/>
    <w:rsid w:val="0028717A"/>
    <w:rsid w:val="00313979"/>
    <w:rsid w:val="003669F7"/>
    <w:rsid w:val="00394E93"/>
    <w:rsid w:val="003F0623"/>
    <w:rsid w:val="00425F71"/>
    <w:rsid w:val="0043729E"/>
    <w:rsid w:val="00466747"/>
    <w:rsid w:val="004952EE"/>
    <w:rsid w:val="004D0523"/>
    <w:rsid w:val="0054039D"/>
    <w:rsid w:val="00551ED7"/>
    <w:rsid w:val="00561294"/>
    <w:rsid w:val="00581300"/>
    <w:rsid w:val="005A4565"/>
    <w:rsid w:val="006052F4"/>
    <w:rsid w:val="006214C6"/>
    <w:rsid w:val="006264AE"/>
    <w:rsid w:val="00633B64"/>
    <w:rsid w:val="006407CB"/>
    <w:rsid w:val="00665330"/>
    <w:rsid w:val="00682D51"/>
    <w:rsid w:val="006A6775"/>
    <w:rsid w:val="006B06EC"/>
    <w:rsid w:val="006D71E7"/>
    <w:rsid w:val="006E108E"/>
    <w:rsid w:val="006F528E"/>
    <w:rsid w:val="0072105A"/>
    <w:rsid w:val="0072777F"/>
    <w:rsid w:val="0073026B"/>
    <w:rsid w:val="00746159"/>
    <w:rsid w:val="00762261"/>
    <w:rsid w:val="007F0D55"/>
    <w:rsid w:val="007F16AE"/>
    <w:rsid w:val="008610CF"/>
    <w:rsid w:val="008776D8"/>
    <w:rsid w:val="008838C5"/>
    <w:rsid w:val="008A6C02"/>
    <w:rsid w:val="008B7C10"/>
    <w:rsid w:val="008C6AE6"/>
    <w:rsid w:val="008C77F5"/>
    <w:rsid w:val="00912856"/>
    <w:rsid w:val="009718BC"/>
    <w:rsid w:val="009D142F"/>
    <w:rsid w:val="009D202A"/>
    <w:rsid w:val="009F0416"/>
    <w:rsid w:val="00A13BBE"/>
    <w:rsid w:val="00AB6673"/>
    <w:rsid w:val="00AF7FC8"/>
    <w:rsid w:val="00B000D8"/>
    <w:rsid w:val="00B11CBD"/>
    <w:rsid w:val="00B147B3"/>
    <w:rsid w:val="00B43F48"/>
    <w:rsid w:val="00B5448E"/>
    <w:rsid w:val="00BC327D"/>
    <w:rsid w:val="00BD49CB"/>
    <w:rsid w:val="00C34310"/>
    <w:rsid w:val="00C35E7E"/>
    <w:rsid w:val="00C46265"/>
    <w:rsid w:val="00C55BC5"/>
    <w:rsid w:val="00C64C18"/>
    <w:rsid w:val="00CC10CF"/>
    <w:rsid w:val="00CE55CA"/>
    <w:rsid w:val="00D24E9F"/>
    <w:rsid w:val="00D905D3"/>
    <w:rsid w:val="00DD4833"/>
    <w:rsid w:val="00DE671A"/>
    <w:rsid w:val="00E02708"/>
    <w:rsid w:val="00E61A8C"/>
    <w:rsid w:val="00E66F6B"/>
    <w:rsid w:val="00EB0F74"/>
    <w:rsid w:val="00ED718F"/>
    <w:rsid w:val="00EF605B"/>
    <w:rsid w:val="00F16001"/>
    <w:rsid w:val="00F420C3"/>
    <w:rsid w:val="00F6797A"/>
    <w:rsid w:val="00F9690A"/>
    <w:rsid w:val="00F97FF0"/>
    <w:rsid w:val="00FD04B5"/>
    <w:rsid w:val="00FF2869"/>
    <w:rsid w:val="00FF33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 w:type="character" w:styleId="Hipervnculo">
    <w:name w:val="Hyperlink"/>
    <w:basedOn w:val="Fuentedeprrafopredeter"/>
    <w:uiPriority w:val="99"/>
    <w:unhideWhenUsed/>
    <w:rsid w:val="00466747"/>
    <w:rPr>
      <w:color w:val="0000FF" w:themeColor="hyperlink"/>
      <w:u w:val="single"/>
    </w:rPr>
  </w:style>
  <w:style w:type="paragraph" w:styleId="Cita">
    <w:name w:val="Quote"/>
    <w:basedOn w:val="Normal"/>
    <w:next w:val="Normal"/>
    <w:link w:val="CitaCar"/>
    <w:uiPriority w:val="29"/>
    <w:qFormat/>
    <w:rsid w:val="009718BC"/>
    <w:rPr>
      <w:i/>
      <w:iCs/>
      <w:color w:val="000000" w:themeColor="text1"/>
    </w:rPr>
  </w:style>
  <w:style w:type="character" w:customStyle="1" w:styleId="CitaCar">
    <w:name w:val="Cita Car"/>
    <w:basedOn w:val="Fuentedeprrafopredeter"/>
    <w:link w:val="Cita"/>
    <w:uiPriority w:val="29"/>
    <w:rsid w:val="009718BC"/>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18"/>
    <w:pPr>
      <w:spacing w:after="200" w:line="276"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D24E9F"/>
    <w:pPr>
      <w:tabs>
        <w:tab w:val="center" w:pos="4252"/>
        <w:tab w:val="right" w:pos="8504"/>
      </w:tabs>
    </w:pPr>
  </w:style>
  <w:style w:type="character" w:customStyle="1" w:styleId="EncabezadoCar">
    <w:name w:val="Encabezado Car"/>
    <w:basedOn w:val="Fuentedeprrafopredeter"/>
    <w:link w:val="Encabezado"/>
    <w:uiPriority w:val="99"/>
    <w:rsid w:val="00D24E9F"/>
  </w:style>
  <w:style w:type="paragraph" w:styleId="Piedepgina">
    <w:name w:val="footer"/>
    <w:basedOn w:val="Normal"/>
    <w:link w:val="PiedepginaCar"/>
    <w:uiPriority w:val="99"/>
    <w:unhideWhenUsed/>
    <w:rsid w:val="00D24E9F"/>
    <w:pPr>
      <w:tabs>
        <w:tab w:val="center" w:pos="4252"/>
        <w:tab w:val="right" w:pos="8504"/>
      </w:tabs>
    </w:pPr>
  </w:style>
  <w:style w:type="character" w:customStyle="1" w:styleId="PiedepginaCar">
    <w:name w:val="Pie de página Car"/>
    <w:basedOn w:val="Fuentedeprrafopredeter"/>
    <w:link w:val="Piedepgina"/>
    <w:uiPriority w:val="99"/>
    <w:rsid w:val="00D24E9F"/>
  </w:style>
  <w:style w:type="character" w:styleId="Nmerodepgina">
    <w:name w:val="page number"/>
    <w:basedOn w:val="Fuentedeprrafopredeter"/>
    <w:rsid w:val="00D24E9F"/>
  </w:style>
  <w:style w:type="character" w:styleId="Hipervnculo">
    <w:name w:val="Hyperlink"/>
    <w:basedOn w:val="Fuentedeprrafopredeter"/>
    <w:uiPriority w:val="99"/>
    <w:unhideWhenUsed/>
    <w:rsid w:val="00466747"/>
    <w:rPr>
      <w:color w:val="0000FF" w:themeColor="hyperlink"/>
      <w:u w:val="single"/>
    </w:rPr>
  </w:style>
  <w:style w:type="paragraph" w:styleId="Cita">
    <w:name w:val="Quote"/>
    <w:basedOn w:val="Normal"/>
    <w:next w:val="Normal"/>
    <w:link w:val="CitaCar"/>
    <w:uiPriority w:val="29"/>
    <w:qFormat/>
    <w:rsid w:val="009718BC"/>
    <w:rPr>
      <w:i/>
      <w:iCs/>
      <w:color w:val="000000" w:themeColor="text1"/>
    </w:rPr>
  </w:style>
  <w:style w:type="character" w:customStyle="1" w:styleId="CitaCar">
    <w:name w:val="Cita Car"/>
    <w:basedOn w:val="Fuentedeprrafopredeter"/>
    <w:link w:val="Cita"/>
    <w:uiPriority w:val="29"/>
    <w:rsid w:val="009718BC"/>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28658338">
      <w:bodyDiv w:val="1"/>
      <w:marLeft w:val="0"/>
      <w:marRight w:val="0"/>
      <w:marTop w:val="0"/>
      <w:marBottom w:val="0"/>
      <w:divBdr>
        <w:top w:val="none" w:sz="0" w:space="0" w:color="auto"/>
        <w:left w:val="none" w:sz="0" w:space="0" w:color="auto"/>
        <w:bottom w:val="none" w:sz="0" w:space="0" w:color="auto"/>
        <w:right w:val="none" w:sz="0" w:space="0" w:color="auto"/>
      </w:divBdr>
    </w:div>
    <w:div w:id="653874540">
      <w:bodyDiv w:val="1"/>
      <w:marLeft w:val="0"/>
      <w:marRight w:val="0"/>
      <w:marTop w:val="0"/>
      <w:marBottom w:val="0"/>
      <w:divBdr>
        <w:top w:val="none" w:sz="0" w:space="0" w:color="auto"/>
        <w:left w:val="none" w:sz="0" w:space="0" w:color="auto"/>
        <w:bottom w:val="none" w:sz="0" w:space="0" w:color="auto"/>
        <w:right w:val="none" w:sz="0" w:space="0" w:color="auto"/>
      </w:divBdr>
      <w:divsChild>
        <w:div w:id="1814254161">
          <w:marLeft w:val="0"/>
          <w:marRight w:val="0"/>
          <w:marTop w:val="0"/>
          <w:marBottom w:val="60"/>
          <w:divBdr>
            <w:top w:val="none" w:sz="0" w:space="0" w:color="auto"/>
            <w:left w:val="none" w:sz="0" w:space="0" w:color="auto"/>
            <w:bottom w:val="none" w:sz="0" w:space="0" w:color="auto"/>
            <w:right w:val="none" w:sz="0" w:space="0" w:color="auto"/>
          </w:divBdr>
        </w:div>
        <w:div w:id="247203261">
          <w:marLeft w:val="0"/>
          <w:marRight w:val="0"/>
          <w:marTop w:val="0"/>
          <w:marBottom w:val="40"/>
          <w:divBdr>
            <w:top w:val="none" w:sz="0" w:space="0" w:color="auto"/>
            <w:left w:val="none" w:sz="0" w:space="0" w:color="auto"/>
            <w:bottom w:val="none" w:sz="0" w:space="0" w:color="auto"/>
            <w:right w:val="none" w:sz="0" w:space="0" w:color="auto"/>
          </w:divBdr>
        </w:div>
        <w:div w:id="570166045">
          <w:marLeft w:val="0"/>
          <w:marRight w:val="0"/>
          <w:marTop w:val="60"/>
          <w:marBottom w:val="60"/>
          <w:divBdr>
            <w:top w:val="none" w:sz="0" w:space="0" w:color="auto"/>
            <w:left w:val="none" w:sz="0" w:space="0" w:color="auto"/>
            <w:bottom w:val="none" w:sz="0" w:space="0" w:color="auto"/>
            <w:right w:val="none" w:sz="0" w:space="0" w:color="auto"/>
          </w:divBdr>
        </w:div>
        <w:div w:id="1725905593">
          <w:marLeft w:val="0"/>
          <w:marRight w:val="0"/>
          <w:marTop w:val="0"/>
          <w:marBottom w:val="40"/>
          <w:divBdr>
            <w:top w:val="none" w:sz="0" w:space="0" w:color="auto"/>
            <w:left w:val="none" w:sz="0" w:space="0" w:color="auto"/>
            <w:bottom w:val="none" w:sz="0" w:space="0" w:color="auto"/>
            <w:right w:val="none" w:sz="0" w:space="0" w:color="auto"/>
          </w:divBdr>
        </w:div>
        <w:div w:id="1801419990">
          <w:marLeft w:val="0"/>
          <w:marRight w:val="0"/>
          <w:marTop w:val="0"/>
          <w:marBottom w:val="40"/>
          <w:divBdr>
            <w:top w:val="none" w:sz="0" w:space="0" w:color="auto"/>
            <w:left w:val="none" w:sz="0" w:space="0" w:color="auto"/>
            <w:bottom w:val="none" w:sz="0" w:space="0" w:color="auto"/>
            <w:right w:val="none" w:sz="0" w:space="0" w:color="auto"/>
          </w:divBdr>
        </w:div>
        <w:div w:id="1514800022">
          <w:marLeft w:val="0"/>
          <w:marRight w:val="0"/>
          <w:marTop w:val="0"/>
          <w:marBottom w:val="40"/>
          <w:divBdr>
            <w:top w:val="none" w:sz="0" w:space="0" w:color="auto"/>
            <w:left w:val="none" w:sz="0" w:space="0" w:color="auto"/>
            <w:bottom w:val="none" w:sz="0" w:space="0" w:color="auto"/>
            <w:right w:val="none" w:sz="0" w:space="0" w:color="auto"/>
          </w:divBdr>
        </w:div>
        <w:div w:id="283469588">
          <w:marLeft w:val="0"/>
          <w:marRight w:val="0"/>
          <w:marTop w:val="0"/>
          <w:marBottom w:val="40"/>
          <w:divBdr>
            <w:top w:val="none" w:sz="0" w:space="0" w:color="auto"/>
            <w:left w:val="none" w:sz="0" w:space="0" w:color="auto"/>
            <w:bottom w:val="none" w:sz="0" w:space="0" w:color="auto"/>
            <w:right w:val="none" w:sz="0" w:space="0" w:color="auto"/>
          </w:divBdr>
        </w:div>
        <w:div w:id="28379233">
          <w:marLeft w:val="0"/>
          <w:marRight w:val="0"/>
          <w:marTop w:val="0"/>
          <w:marBottom w:val="40"/>
          <w:divBdr>
            <w:top w:val="none" w:sz="0" w:space="0" w:color="auto"/>
            <w:left w:val="none" w:sz="0" w:space="0" w:color="auto"/>
            <w:bottom w:val="none" w:sz="0" w:space="0" w:color="auto"/>
            <w:right w:val="none" w:sz="0" w:space="0" w:color="auto"/>
          </w:divBdr>
        </w:div>
        <w:div w:id="1877623436">
          <w:marLeft w:val="0"/>
          <w:marRight w:val="0"/>
          <w:marTop w:val="60"/>
          <w:marBottom w:val="60"/>
          <w:divBdr>
            <w:top w:val="none" w:sz="0" w:space="0" w:color="auto"/>
            <w:left w:val="none" w:sz="0" w:space="0" w:color="auto"/>
            <w:bottom w:val="none" w:sz="0" w:space="0" w:color="auto"/>
            <w:right w:val="none" w:sz="0" w:space="0" w:color="auto"/>
          </w:divBdr>
        </w:div>
        <w:div w:id="538082354">
          <w:marLeft w:val="0"/>
          <w:marRight w:val="0"/>
          <w:marTop w:val="0"/>
          <w:marBottom w:val="40"/>
          <w:divBdr>
            <w:top w:val="none" w:sz="0" w:space="0" w:color="auto"/>
            <w:left w:val="none" w:sz="0" w:space="0" w:color="auto"/>
            <w:bottom w:val="none" w:sz="0" w:space="0" w:color="auto"/>
            <w:right w:val="none" w:sz="0" w:space="0" w:color="auto"/>
          </w:divBdr>
        </w:div>
        <w:div w:id="1115440121">
          <w:marLeft w:val="0"/>
          <w:marRight w:val="0"/>
          <w:marTop w:val="0"/>
          <w:marBottom w:val="40"/>
          <w:divBdr>
            <w:top w:val="none" w:sz="0" w:space="0" w:color="auto"/>
            <w:left w:val="none" w:sz="0" w:space="0" w:color="auto"/>
            <w:bottom w:val="none" w:sz="0" w:space="0" w:color="auto"/>
            <w:right w:val="none" w:sz="0" w:space="0" w:color="auto"/>
          </w:divBdr>
        </w:div>
        <w:div w:id="836577193">
          <w:marLeft w:val="0"/>
          <w:marRight w:val="0"/>
          <w:marTop w:val="0"/>
          <w:marBottom w:val="40"/>
          <w:divBdr>
            <w:top w:val="none" w:sz="0" w:space="0" w:color="auto"/>
            <w:left w:val="none" w:sz="0" w:space="0" w:color="auto"/>
            <w:bottom w:val="none" w:sz="0" w:space="0" w:color="auto"/>
            <w:right w:val="none" w:sz="0" w:space="0" w:color="auto"/>
          </w:divBdr>
        </w:div>
        <w:div w:id="236792925">
          <w:marLeft w:val="0"/>
          <w:marRight w:val="0"/>
          <w:marTop w:val="0"/>
          <w:marBottom w:val="40"/>
          <w:divBdr>
            <w:top w:val="none" w:sz="0" w:space="0" w:color="auto"/>
            <w:left w:val="none" w:sz="0" w:space="0" w:color="auto"/>
            <w:bottom w:val="none" w:sz="0" w:space="0" w:color="auto"/>
            <w:right w:val="none" w:sz="0" w:space="0" w:color="auto"/>
          </w:divBdr>
        </w:div>
        <w:div w:id="137580165">
          <w:marLeft w:val="0"/>
          <w:marRight w:val="0"/>
          <w:marTop w:val="0"/>
          <w:marBottom w:val="40"/>
          <w:divBdr>
            <w:top w:val="none" w:sz="0" w:space="0" w:color="auto"/>
            <w:left w:val="none" w:sz="0" w:space="0" w:color="auto"/>
            <w:bottom w:val="none" w:sz="0" w:space="0" w:color="auto"/>
            <w:right w:val="none" w:sz="0" w:space="0" w:color="auto"/>
          </w:divBdr>
        </w:div>
        <w:div w:id="1672953985">
          <w:marLeft w:val="0"/>
          <w:marRight w:val="0"/>
          <w:marTop w:val="0"/>
          <w:marBottom w:val="40"/>
          <w:divBdr>
            <w:top w:val="none" w:sz="0" w:space="0" w:color="auto"/>
            <w:left w:val="none" w:sz="0" w:space="0" w:color="auto"/>
            <w:bottom w:val="none" w:sz="0" w:space="0" w:color="auto"/>
            <w:right w:val="none" w:sz="0" w:space="0" w:color="auto"/>
          </w:divBdr>
        </w:div>
        <w:div w:id="795412712">
          <w:marLeft w:val="0"/>
          <w:marRight w:val="0"/>
          <w:marTop w:val="0"/>
          <w:marBottom w:val="40"/>
          <w:divBdr>
            <w:top w:val="none" w:sz="0" w:space="0" w:color="auto"/>
            <w:left w:val="none" w:sz="0" w:space="0" w:color="auto"/>
            <w:bottom w:val="none" w:sz="0" w:space="0" w:color="auto"/>
            <w:right w:val="none" w:sz="0" w:space="0" w:color="auto"/>
          </w:divBdr>
        </w:div>
        <w:div w:id="1202863055">
          <w:marLeft w:val="0"/>
          <w:marRight w:val="0"/>
          <w:marTop w:val="0"/>
          <w:marBottom w:val="40"/>
          <w:divBdr>
            <w:top w:val="none" w:sz="0" w:space="0" w:color="auto"/>
            <w:left w:val="none" w:sz="0" w:space="0" w:color="auto"/>
            <w:bottom w:val="none" w:sz="0" w:space="0" w:color="auto"/>
            <w:right w:val="none" w:sz="0" w:space="0" w:color="auto"/>
          </w:divBdr>
        </w:div>
        <w:div w:id="333998619">
          <w:marLeft w:val="0"/>
          <w:marRight w:val="0"/>
          <w:marTop w:val="0"/>
          <w:marBottom w:val="40"/>
          <w:divBdr>
            <w:top w:val="none" w:sz="0" w:space="0" w:color="auto"/>
            <w:left w:val="none" w:sz="0" w:space="0" w:color="auto"/>
            <w:bottom w:val="none" w:sz="0" w:space="0" w:color="auto"/>
            <w:right w:val="none" w:sz="0" w:space="0" w:color="auto"/>
          </w:divBdr>
        </w:div>
        <w:div w:id="841168097">
          <w:marLeft w:val="0"/>
          <w:marRight w:val="0"/>
          <w:marTop w:val="0"/>
          <w:marBottom w:val="40"/>
          <w:divBdr>
            <w:top w:val="none" w:sz="0" w:space="0" w:color="auto"/>
            <w:left w:val="none" w:sz="0" w:space="0" w:color="auto"/>
            <w:bottom w:val="none" w:sz="0" w:space="0" w:color="auto"/>
            <w:right w:val="none" w:sz="0" w:space="0" w:color="auto"/>
          </w:divBdr>
        </w:div>
        <w:div w:id="622735389">
          <w:marLeft w:val="0"/>
          <w:marRight w:val="0"/>
          <w:marTop w:val="0"/>
          <w:marBottom w:val="40"/>
          <w:divBdr>
            <w:top w:val="none" w:sz="0" w:space="0" w:color="auto"/>
            <w:left w:val="none" w:sz="0" w:space="0" w:color="auto"/>
            <w:bottom w:val="none" w:sz="0" w:space="0" w:color="auto"/>
            <w:right w:val="none" w:sz="0" w:space="0" w:color="auto"/>
          </w:divBdr>
        </w:div>
        <w:div w:id="1328820807">
          <w:marLeft w:val="0"/>
          <w:marRight w:val="0"/>
          <w:marTop w:val="0"/>
          <w:marBottom w:val="40"/>
          <w:divBdr>
            <w:top w:val="none" w:sz="0" w:space="0" w:color="auto"/>
            <w:left w:val="none" w:sz="0" w:space="0" w:color="auto"/>
            <w:bottom w:val="none" w:sz="0" w:space="0" w:color="auto"/>
            <w:right w:val="none" w:sz="0" w:space="0" w:color="auto"/>
          </w:divBdr>
        </w:div>
        <w:div w:id="1496072715">
          <w:marLeft w:val="0"/>
          <w:marRight w:val="0"/>
          <w:marTop w:val="0"/>
          <w:marBottom w:val="40"/>
          <w:divBdr>
            <w:top w:val="none" w:sz="0" w:space="0" w:color="auto"/>
            <w:left w:val="none" w:sz="0" w:space="0" w:color="auto"/>
            <w:bottom w:val="none" w:sz="0" w:space="0" w:color="auto"/>
            <w:right w:val="none" w:sz="0" w:space="0" w:color="auto"/>
          </w:divBdr>
        </w:div>
        <w:div w:id="1197349388">
          <w:marLeft w:val="0"/>
          <w:marRight w:val="0"/>
          <w:marTop w:val="0"/>
          <w:marBottom w:val="40"/>
          <w:divBdr>
            <w:top w:val="none" w:sz="0" w:space="0" w:color="auto"/>
            <w:left w:val="none" w:sz="0" w:space="0" w:color="auto"/>
            <w:bottom w:val="none" w:sz="0" w:space="0" w:color="auto"/>
            <w:right w:val="none" w:sz="0" w:space="0" w:color="auto"/>
          </w:divBdr>
        </w:div>
        <w:div w:id="1407220479">
          <w:marLeft w:val="0"/>
          <w:marRight w:val="0"/>
          <w:marTop w:val="0"/>
          <w:marBottom w:val="40"/>
          <w:divBdr>
            <w:top w:val="none" w:sz="0" w:space="0" w:color="auto"/>
            <w:left w:val="none" w:sz="0" w:space="0" w:color="auto"/>
            <w:bottom w:val="none" w:sz="0" w:space="0" w:color="auto"/>
            <w:right w:val="none" w:sz="0" w:space="0" w:color="auto"/>
          </w:divBdr>
        </w:div>
        <w:div w:id="1044602518">
          <w:marLeft w:val="0"/>
          <w:marRight w:val="0"/>
          <w:marTop w:val="0"/>
          <w:marBottom w:val="40"/>
          <w:divBdr>
            <w:top w:val="none" w:sz="0" w:space="0" w:color="auto"/>
            <w:left w:val="none" w:sz="0" w:space="0" w:color="auto"/>
            <w:bottom w:val="none" w:sz="0" w:space="0" w:color="auto"/>
            <w:right w:val="none" w:sz="0" w:space="0" w:color="auto"/>
          </w:divBdr>
        </w:div>
        <w:div w:id="1152334530">
          <w:marLeft w:val="0"/>
          <w:marRight w:val="0"/>
          <w:marTop w:val="0"/>
          <w:marBottom w:val="40"/>
          <w:divBdr>
            <w:top w:val="none" w:sz="0" w:space="0" w:color="auto"/>
            <w:left w:val="none" w:sz="0" w:space="0" w:color="auto"/>
            <w:bottom w:val="none" w:sz="0" w:space="0" w:color="auto"/>
            <w:right w:val="none" w:sz="0" w:space="0" w:color="auto"/>
          </w:divBdr>
        </w:div>
        <w:div w:id="1840777437">
          <w:marLeft w:val="0"/>
          <w:marRight w:val="0"/>
          <w:marTop w:val="60"/>
          <w:marBottom w:val="60"/>
          <w:divBdr>
            <w:top w:val="none" w:sz="0" w:space="0" w:color="auto"/>
            <w:left w:val="none" w:sz="0" w:space="0" w:color="auto"/>
            <w:bottom w:val="none" w:sz="0" w:space="0" w:color="auto"/>
            <w:right w:val="none" w:sz="0" w:space="0" w:color="auto"/>
          </w:divBdr>
        </w:div>
        <w:div w:id="380640949">
          <w:marLeft w:val="0"/>
          <w:marRight w:val="0"/>
          <w:marTop w:val="0"/>
          <w:marBottom w:val="40"/>
          <w:divBdr>
            <w:top w:val="none" w:sz="0" w:space="0" w:color="auto"/>
            <w:left w:val="none" w:sz="0" w:space="0" w:color="auto"/>
            <w:bottom w:val="none" w:sz="0" w:space="0" w:color="auto"/>
            <w:right w:val="none" w:sz="0" w:space="0" w:color="auto"/>
          </w:divBdr>
        </w:div>
        <w:div w:id="536896470">
          <w:marLeft w:val="0"/>
          <w:marRight w:val="0"/>
          <w:marTop w:val="0"/>
          <w:marBottom w:val="40"/>
          <w:divBdr>
            <w:top w:val="none" w:sz="0" w:space="0" w:color="auto"/>
            <w:left w:val="none" w:sz="0" w:space="0" w:color="auto"/>
            <w:bottom w:val="none" w:sz="0" w:space="0" w:color="auto"/>
            <w:right w:val="none" w:sz="0" w:space="0" w:color="auto"/>
          </w:divBdr>
        </w:div>
      </w:divsChild>
    </w:div>
    <w:div w:id="110121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5DAE-5907-4F3A-99A7-149DBB70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1856</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Preisser</dc:creator>
  <cp:keywords/>
  <dc:description/>
  <cp:lastModifiedBy>Senado</cp:lastModifiedBy>
  <cp:revision>4</cp:revision>
  <cp:lastPrinted>2012-12-18T01:35:00Z</cp:lastPrinted>
  <dcterms:created xsi:type="dcterms:W3CDTF">2013-04-16T14:45:00Z</dcterms:created>
  <dcterms:modified xsi:type="dcterms:W3CDTF">2013-04-16T19:46:00Z</dcterms:modified>
</cp:coreProperties>
</file>